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19d3217b823489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Phụ lục số 28</w:t>
      </w:r>
    </w:p>
    <w:p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Nội dung Báo cáo tổng kết hoạt động quản lý quỹ</w:t>
      </w:r>
    </w:p>
    <w:p w:rsidR="00100534" w:rsidRPr="00D8620E" w:rsidRDefault="00100534" w:rsidP="00100534">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(ban hành kèm theo Thông tư hướng dẫn về việc thành lập và quản lý quỹ mở)</w:t>
      </w:r>
    </w:p>
    <w:p w:rsidR="00100534" w:rsidRPr="00D8620E" w:rsidRDefault="00100534" w:rsidP="00100534">
      <w:pPr>
        <w:spacing w:after="0" w:line="300" w:lineRule="auto"/>
        <w:jc w:val="center"/>
        <w:rPr>
          <w:rFonts w:ascii="Times New Roman" w:hAnsi="Times New Roman"/>
          <w:b/>
          <w:sz w:val="24"/>
          <w:szCs w:val="24"/>
          <w:lang w:val="nl-NL"/>
        </w:rPr>
      </w:pPr>
    </w:p>
    <w:p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BÁO CÁO TỔNG KẾT HOẠT ĐỘNG QUẢN LÝ QUỸ</w:t>
      </w:r>
    </w:p>
    <w:p w:rsidR="00100534" w:rsidRPr="00D8620E" w:rsidRDefault="00100534" w:rsidP="00100534">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w:t>
      </w:r>
      <w:r w:rsidR="00CE15F6" w:rsidRPr="00D8620E">
        <w:rPr>
          <w:rFonts w:ascii="Times New Roman" w:hAnsi="Times New Roman"/>
          <w:i/>
          <w:sz w:val="24"/>
          <w:szCs w:val="24"/>
          <w:lang w:val="nl-NL"/>
        </w:rPr>
        <w:t>Năm</w:t>
      </w:r>
      <w:r w:rsidR="000A2248" w:rsidRPr="00D8620E">
        <w:rPr>
          <w:rFonts w:ascii="Times New Roman" w:hAnsi="Times New Roman"/>
          <w:i/>
          <w:sz w:val="24"/>
          <w:szCs w:val="24"/>
          <w:lang w:val="nl-NL"/>
        </w:rPr>
        <w:t xml:space="preserve"> 2019</w:t>
      </w:r>
      <w:r w:rsidRPr="00D8620E">
        <w:rPr>
          <w:rFonts w:ascii="Times New Roman" w:hAnsi="Times New Roman"/>
          <w:i/>
          <w:sz w:val="24"/>
          <w:szCs w:val="24"/>
          <w:lang w:val="nl-NL"/>
        </w:rPr>
        <w:t>)</w:t>
      </w:r>
    </w:p>
    <w:p w:rsidR="00100534" w:rsidRPr="00D8620E" w:rsidRDefault="00100534" w:rsidP="00100534">
      <w:pPr>
        <w:spacing w:after="0" w:line="300" w:lineRule="auto"/>
        <w:jc w:val="center"/>
        <w:rPr>
          <w:rFonts w:ascii="Times New Roman" w:hAnsi="Times New Roman"/>
          <w:b/>
          <w:sz w:val="24"/>
          <w:szCs w:val="24"/>
          <w:lang w:val="nl-NL"/>
        </w:rPr>
      </w:pPr>
    </w:p>
    <w:p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Thông</w:t>
      </w:r>
      <w:proofErr w:type="spellEnd"/>
      <w:r w:rsidRPr="00D8620E">
        <w:rPr>
          <w:rFonts w:ascii="Times New Roman" w:hAnsi="Times New Roman"/>
          <w:b/>
          <w:sz w:val="24"/>
          <w:szCs w:val="24"/>
        </w:rPr>
        <w:t xml:space="preserve"> tin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00BC38CC" w:rsidRPr="00D8620E">
        <w:rPr>
          <w:rFonts w:ascii="Times New Roman" w:hAnsi="Times New Roman"/>
          <w:b/>
          <w:sz w:val="24"/>
          <w:szCs w:val="24"/>
        </w:rPr>
        <w:t>q</w:t>
      </w:r>
      <w:r w:rsidRPr="00D8620E">
        <w:rPr>
          <w:rFonts w:ascii="Times New Roman" w:hAnsi="Times New Roman"/>
          <w:b/>
          <w:sz w:val="24"/>
          <w:szCs w:val="24"/>
        </w:rPr>
        <w:t>uỹ</w:t>
      </w:r>
      <w:proofErr w:type="spellEnd"/>
    </w:p>
    <w:p w:rsidR="000A2248"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Tên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loại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hình</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000A2248" w:rsidRPr="00D8620E">
        <w:rPr>
          <w:rFonts w:ascii="Times New Roman" w:hAnsi="Times New Roman"/>
          <w:sz w:val="24"/>
          <w:szCs w:val="24"/>
        </w:rPr>
        <w:t>:</w:t>
      </w:r>
    </w:p>
    <w:p w:rsidR="000A2248" w:rsidRPr="00D8620E" w:rsidRDefault="000A2248" w:rsidP="00D8620E">
      <w:pPr>
        <w:pStyle w:val="ListParagraph"/>
        <w:numPr>
          <w:ilvl w:val="0"/>
          <w:numId w:val="26"/>
        </w:numPr>
        <w:tabs>
          <w:tab w:val="left" w:pos="270"/>
          <w:tab w:val="left" w:pos="1134"/>
        </w:tabs>
        <w:spacing w:before="120" w:after="120" w:line="300" w:lineRule="auto"/>
        <w:jc w:val="both"/>
        <w:rPr>
          <w:rFonts w:ascii="Times New Roman" w:hAnsi="Times New Roman"/>
          <w:b/>
          <w:sz w:val="24"/>
          <w:szCs w:val="24"/>
        </w:rPr>
      </w:pPr>
      <w:proofErr w:type="spellStart"/>
      <w:r w:rsidRPr="00D8620E">
        <w:rPr>
          <w:rFonts w:ascii="Times New Roman" w:hAnsi="Times New Roman"/>
          <w:sz w:val="24"/>
          <w:szCs w:val="24"/>
        </w:rPr>
        <w:t>Tên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b/>
          <w:i/>
          <w:sz w:val="24"/>
          <w:szCs w:val="24"/>
        </w:rPr>
        <w:t>Quỹ</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Đầu</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Tư</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Tăng</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Trưởng</w:t>
      </w:r>
      <w:proofErr w:type="spellEnd"/>
      <w:r w:rsidRPr="00D8620E">
        <w:rPr>
          <w:rFonts w:ascii="Times New Roman" w:hAnsi="Times New Roman"/>
          <w:b/>
          <w:i/>
          <w:sz w:val="24"/>
          <w:szCs w:val="24"/>
        </w:rPr>
        <w:t xml:space="preserve"> DFVN</w:t>
      </w:r>
    </w:p>
    <w:p w:rsidR="00AE6D17" w:rsidRPr="00D8620E" w:rsidRDefault="000A2248" w:rsidP="00D8620E">
      <w:pPr>
        <w:pStyle w:val="ListParagraph"/>
        <w:numPr>
          <w:ilvl w:val="0"/>
          <w:numId w:val="26"/>
        </w:numPr>
        <w:tabs>
          <w:tab w:val="left" w:pos="270"/>
          <w:tab w:val="left" w:pos="1134"/>
        </w:tabs>
        <w:spacing w:before="120" w:after="120" w:line="300" w:lineRule="auto"/>
        <w:jc w:val="both"/>
        <w:rPr>
          <w:rFonts w:ascii="Times New Roman" w:hAnsi="Times New Roman"/>
          <w:sz w:val="24"/>
          <w:szCs w:val="24"/>
        </w:rPr>
      </w:pPr>
      <w:proofErr w:type="spellStart"/>
      <w:r w:rsidRPr="00D8620E">
        <w:rPr>
          <w:rFonts w:ascii="Times New Roman" w:hAnsi="Times New Roman"/>
          <w:sz w:val="24"/>
          <w:szCs w:val="24"/>
        </w:rPr>
        <w:t>Loại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i/>
          <w:sz w:val="24"/>
          <w:szCs w:val="24"/>
        </w:rPr>
        <w:t>Quỹ</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mở</w:t>
      </w:r>
      <w:proofErr w:type="spellEnd"/>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4D7F59" w:rsidRPr="00D8620E">
        <w:rPr>
          <w:rFonts w:ascii="Times New Roman" w:hAnsi="Times New Roman"/>
          <w:sz w:val="24"/>
          <w:szCs w:val="24"/>
        </w:rPr>
        <w:t>Q</w:t>
      </w:r>
      <w:r w:rsidRPr="00D8620E">
        <w:rPr>
          <w:rFonts w:ascii="Times New Roman" w:hAnsi="Times New Roman"/>
          <w:sz w:val="24"/>
          <w:szCs w:val="24"/>
        </w:rPr>
        <w:t>uỹ</w:t>
      </w:r>
      <w:proofErr w:type="spellEnd"/>
      <w:r w:rsidR="000A2248" w:rsidRPr="00D8620E">
        <w:rPr>
          <w:rFonts w:ascii="Times New Roman" w:hAnsi="Times New Roman"/>
          <w:sz w:val="24"/>
          <w:szCs w:val="24"/>
        </w:rPr>
        <w:t>:</w:t>
      </w:r>
    </w:p>
    <w:p w:rsidR="000A2248" w:rsidRPr="00D8620E" w:rsidRDefault="000A2248"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đặt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phấn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đấu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Thị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Việt Nam (VN-Index)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bằng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Thị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Việt Nam.</w:t>
      </w:r>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000A2248" w:rsidRPr="00D8620E">
        <w:rPr>
          <w:rFonts w:ascii="Times New Roman" w:hAnsi="Times New Roman"/>
          <w:sz w:val="24"/>
          <w:szCs w:val="24"/>
        </w:rPr>
        <w:t xml:space="preserve">: </w:t>
      </w:r>
      <w:proofErr w:type="spellStart"/>
      <w:r w:rsidR="000A2248" w:rsidRPr="00D8620E">
        <w:rPr>
          <w:rFonts w:ascii="Times New Roman" w:hAnsi="Times New Roman"/>
          <w:i/>
          <w:sz w:val="24"/>
          <w:szCs w:val="24"/>
        </w:rPr>
        <w:t>không</w:t>
      </w:r>
      <w:proofErr w:type="spellEnd"/>
      <w:r w:rsidR="000A2248" w:rsidRPr="00D8620E">
        <w:rPr>
          <w:rFonts w:ascii="Times New Roman" w:hAnsi="Times New Roman"/>
          <w:i/>
          <w:sz w:val="24"/>
          <w:szCs w:val="24"/>
        </w:rPr>
        <w:t xml:space="preserve"> </w:t>
      </w:r>
      <w:proofErr w:type="spellStart"/>
      <w:r w:rsidR="000A2248" w:rsidRPr="00D8620E">
        <w:rPr>
          <w:rFonts w:ascii="Times New Roman" w:hAnsi="Times New Roman"/>
          <w:i/>
          <w:sz w:val="24"/>
          <w:szCs w:val="24"/>
        </w:rPr>
        <w:t>xác</w:t>
      </w:r>
      <w:proofErr w:type="spellEnd"/>
      <w:r w:rsidR="000A2248" w:rsidRPr="00D8620E">
        <w:rPr>
          <w:rFonts w:ascii="Times New Roman" w:hAnsi="Times New Roman"/>
          <w:i/>
          <w:sz w:val="24"/>
          <w:szCs w:val="24"/>
        </w:rPr>
        <w:t xml:space="preserve"> </w:t>
      </w:r>
      <w:proofErr w:type="spellStart"/>
      <w:r w:rsidR="000A2248" w:rsidRPr="00D8620E">
        <w:rPr>
          <w:rFonts w:ascii="Times New Roman" w:hAnsi="Times New Roman"/>
          <w:i/>
          <w:sz w:val="24"/>
          <w:szCs w:val="24"/>
        </w:rPr>
        <w:t>định</w:t>
      </w:r>
      <w:proofErr w:type="spellEnd"/>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D8620E">
        <w:rPr>
          <w:rFonts w:ascii="Times New Roman" w:hAnsi="Times New Roman"/>
          <w:sz w:val="24"/>
          <w:szCs w:val="24"/>
        </w:rPr>
        <w:t xml:space="preserve">Danh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chiếu</w:t>
      </w:r>
      <w:proofErr w:type="spellEnd"/>
      <w:r w:rsidRPr="00D8620E">
        <w:rPr>
          <w:rFonts w:ascii="Times New Roman" w:hAnsi="Times New Roman"/>
          <w:sz w:val="24"/>
          <w:szCs w:val="24"/>
        </w:rPr>
        <w:t xml:space="preserve"> (benchmark portfolio)</w:t>
      </w:r>
      <w:r w:rsidR="000A2248" w:rsidRPr="00D8620E">
        <w:rPr>
          <w:rFonts w:ascii="Times New Roman" w:hAnsi="Times New Roman"/>
          <w:sz w:val="24"/>
          <w:szCs w:val="24"/>
        </w:rPr>
        <w:t xml:space="preserve">: </w:t>
      </w:r>
      <w:proofErr w:type="spellStart"/>
      <w:r w:rsidR="000A2248" w:rsidRPr="00D8620E">
        <w:rPr>
          <w:rFonts w:ascii="Times New Roman" w:hAnsi="Times New Roman"/>
          <w:i/>
          <w:sz w:val="24"/>
          <w:szCs w:val="24"/>
        </w:rPr>
        <w:t>không</w:t>
      </w:r>
      <w:proofErr w:type="spellEnd"/>
      <w:r w:rsidR="000A2248" w:rsidRPr="00D8620E">
        <w:rPr>
          <w:rFonts w:ascii="Times New Roman" w:hAnsi="Times New Roman"/>
          <w:i/>
          <w:sz w:val="24"/>
          <w:szCs w:val="24"/>
        </w:rPr>
        <w:t xml:space="preserve"> </w:t>
      </w:r>
      <w:proofErr w:type="spellStart"/>
      <w:r w:rsidR="000A2248" w:rsidRPr="00D8620E">
        <w:rPr>
          <w:rFonts w:ascii="Times New Roman" w:hAnsi="Times New Roman"/>
          <w:i/>
          <w:sz w:val="24"/>
          <w:szCs w:val="24"/>
        </w:rPr>
        <w:t>áp</w:t>
      </w:r>
      <w:proofErr w:type="spellEnd"/>
      <w:r w:rsidR="000A2248" w:rsidRPr="00D8620E">
        <w:rPr>
          <w:rFonts w:ascii="Times New Roman" w:hAnsi="Times New Roman"/>
          <w:i/>
          <w:sz w:val="24"/>
          <w:szCs w:val="24"/>
        </w:rPr>
        <w:t xml:space="preserve"> </w:t>
      </w:r>
      <w:proofErr w:type="spellStart"/>
      <w:r w:rsidR="000A2248" w:rsidRPr="00D8620E">
        <w:rPr>
          <w:rFonts w:ascii="Times New Roman" w:hAnsi="Times New Roman"/>
          <w:i/>
          <w:sz w:val="24"/>
          <w:szCs w:val="24"/>
        </w:rPr>
        <w:t>dụng</w:t>
      </w:r>
      <w:proofErr w:type="spellEnd"/>
    </w:p>
    <w:p w:rsidR="001C0E26"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000A2248" w:rsidRPr="00D8620E">
        <w:rPr>
          <w:rFonts w:ascii="Times New Roman" w:hAnsi="Times New Roman"/>
          <w:sz w:val="24"/>
          <w:szCs w:val="24"/>
        </w:rPr>
        <w:t>:</w:t>
      </w:r>
    </w:p>
    <w:p w:rsidR="001C0E26" w:rsidRPr="00D8620E"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D8620E">
        <w:rPr>
          <w:rFonts w:ascii="Times New Roman" w:hAnsi="Times New Roman"/>
          <w:sz w:val="24"/>
          <w:szCs w:val="24"/>
        </w:rPr>
        <w:t>Như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đoạn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do </w:t>
      </w:r>
      <w:proofErr w:type="spellStart"/>
      <w:r w:rsidRPr="00D8620E">
        <w:rPr>
          <w:rFonts w:ascii="Times New Roman" w:hAnsi="Times New Roman"/>
          <w:sz w:val="24"/>
          <w:szCs w:val="24"/>
        </w:rPr>
        <w:t>đó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khuôn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bởi</w:t>
      </w:r>
      <w:proofErr w:type="spellEnd"/>
      <w:r w:rsidRPr="00D8620E">
        <w:rPr>
          <w:rFonts w:ascii="Times New Roman" w:hAnsi="Times New Roman"/>
          <w:sz w:val="24"/>
          <w:szCs w:val="24"/>
        </w:rPr>
        <w:t xml:space="preserve">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r w:rsidRPr="00D8620E" w:rsidDel="00091CAB">
        <w:rPr>
          <w:rFonts w:ascii="Times New Roman" w:hAnsi="Times New Roman"/>
          <w:sz w:val="24"/>
          <w:szCs w:val="24"/>
        </w:rPr>
        <w:t xml:space="preserve"> </w:t>
      </w:r>
    </w:p>
    <w:p w:rsidR="001C0E26" w:rsidRPr="00D8620E"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xem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xét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đây</w:t>
      </w:r>
      <w:proofErr w:type="spellEnd"/>
      <w:r w:rsidRPr="00D8620E">
        <w:rPr>
          <w:rFonts w:ascii="Times New Roman" w:hAnsi="Times New Roman"/>
          <w:sz w:val="24"/>
          <w:szCs w:val="24"/>
        </w:rPr>
        <w:t>:</w:t>
      </w:r>
    </w:p>
    <w:p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dương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w:t>
      </w:r>
    </w:p>
    <w:p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w:t>
      </w:r>
    </w:p>
    <w:p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D8620E">
        <w:rPr>
          <w:rFonts w:ascii="Times New Roman" w:hAnsi="Times New Roman"/>
          <w:sz w:val="24"/>
          <w:szCs w:val="24"/>
        </w:rPr>
        <w:t xml:space="preserve">Sau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dự</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còn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bằng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âm</w:t>
      </w:r>
      <w:proofErr w:type="spellEnd"/>
      <w:r w:rsidRPr="00D8620E">
        <w:rPr>
          <w:rFonts w:ascii="Times New Roman" w:hAnsi="Times New Roman"/>
          <w:sz w:val="24"/>
          <w:szCs w:val="24"/>
        </w:rPr>
        <w:t>).</w:t>
      </w:r>
    </w:p>
    <w:p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w:t>
      </w:r>
    </w:p>
    <w:p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hoàn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004D7F59"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hoàn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lastRenderedPageBreak/>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đảm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đang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hành</w:t>
      </w:r>
      <w:proofErr w:type="spellEnd"/>
      <w:r w:rsidR="000A2248" w:rsidRPr="00D8620E">
        <w:rPr>
          <w:rFonts w:ascii="Times New Roman" w:hAnsi="Times New Roman"/>
          <w:sz w:val="24"/>
          <w:szCs w:val="24"/>
        </w:rPr>
        <w:t xml:space="preserve"> </w:t>
      </w:r>
      <w:proofErr w:type="spellStart"/>
      <w:r w:rsidR="000A2248" w:rsidRPr="00D8620E">
        <w:rPr>
          <w:rFonts w:ascii="Times New Roman" w:hAnsi="Times New Roman"/>
          <w:sz w:val="24"/>
          <w:szCs w:val="24"/>
        </w:rPr>
        <w:t>tại</w:t>
      </w:r>
      <w:proofErr w:type="spellEnd"/>
      <w:r w:rsidR="000A2248" w:rsidRPr="00D8620E">
        <w:rPr>
          <w:rFonts w:ascii="Times New Roman" w:hAnsi="Times New Roman"/>
          <w:sz w:val="24"/>
          <w:szCs w:val="24"/>
        </w:rPr>
        <w:t xml:space="preserve"> </w:t>
      </w:r>
      <w:proofErr w:type="spellStart"/>
      <w:r w:rsidR="000A2248" w:rsidRPr="00D8620E">
        <w:rPr>
          <w:rFonts w:ascii="Times New Roman" w:hAnsi="Times New Roman"/>
          <w:sz w:val="24"/>
          <w:szCs w:val="24"/>
        </w:rPr>
        <w:t>ngày</w:t>
      </w:r>
      <w:proofErr w:type="spellEnd"/>
      <w:r w:rsidR="000A2248" w:rsidRPr="00D8620E">
        <w:rPr>
          <w:rFonts w:ascii="Times New Roman" w:hAnsi="Times New Roman"/>
          <w:sz w:val="24"/>
          <w:szCs w:val="24"/>
        </w:rPr>
        <w:t xml:space="preserve"> </w:t>
      </w:r>
      <w:r w:rsidR="00D60277" w:rsidRPr="00D8620E">
        <w:rPr>
          <w:rFonts w:ascii="Times New Roman" w:hAnsi="Times New Roman"/>
          <w:sz w:val="24"/>
          <w:szCs w:val="24"/>
        </w:rPr>
        <w:t>31/12</w:t>
      </w:r>
      <w:r w:rsidR="000A2248" w:rsidRPr="00D8620E">
        <w:rPr>
          <w:rFonts w:ascii="Times New Roman" w:hAnsi="Times New Roman"/>
          <w:sz w:val="24"/>
          <w:szCs w:val="24"/>
        </w:rPr>
        <w:t xml:space="preserve">/2019: </w:t>
      </w:r>
      <w:r w:rsidR="00D60277" w:rsidRPr="00D8620E">
        <w:rPr>
          <w:rFonts w:ascii="Times New Roman" w:hAnsi="Times New Roman"/>
          <w:sz w:val="24"/>
          <w:szCs w:val="24"/>
        </w:rPr>
        <w:t xml:space="preserve">7.747.580,49 </w:t>
      </w:r>
      <w:proofErr w:type="spellStart"/>
      <w:r w:rsidR="000A2248" w:rsidRPr="00D8620E">
        <w:rPr>
          <w:rFonts w:ascii="Times New Roman" w:hAnsi="Times New Roman"/>
          <w:sz w:val="24"/>
          <w:szCs w:val="24"/>
        </w:rPr>
        <w:t>đơn</w:t>
      </w:r>
      <w:proofErr w:type="spellEnd"/>
      <w:r w:rsidR="000A2248" w:rsidRPr="00D8620E">
        <w:rPr>
          <w:rFonts w:ascii="Times New Roman" w:hAnsi="Times New Roman"/>
          <w:sz w:val="24"/>
          <w:szCs w:val="24"/>
        </w:rPr>
        <w:t xml:space="preserve"> </w:t>
      </w:r>
      <w:proofErr w:type="spellStart"/>
      <w:r w:rsidR="000A2248" w:rsidRPr="00D8620E">
        <w:rPr>
          <w:rFonts w:ascii="Times New Roman" w:hAnsi="Times New Roman"/>
          <w:sz w:val="24"/>
          <w:szCs w:val="24"/>
        </w:rPr>
        <w:t>vị</w:t>
      </w:r>
      <w:proofErr w:type="spellEnd"/>
      <w:r w:rsidR="000A2248" w:rsidRPr="00D8620E">
        <w:rPr>
          <w:rFonts w:ascii="Times New Roman" w:hAnsi="Times New Roman"/>
          <w:sz w:val="24"/>
          <w:szCs w:val="24"/>
        </w:rPr>
        <w:t xml:space="preserve"> </w:t>
      </w:r>
      <w:proofErr w:type="spellStart"/>
      <w:r w:rsidR="000A2248" w:rsidRPr="00D8620E">
        <w:rPr>
          <w:rFonts w:ascii="Times New Roman" w:hAnsi="Times New Roman"/>
          <w:sz w:val="24"/>
          <w:szCs w:val="24"/>
        </w:rPr>
        <w:t>quỹ</w:t>
      </w:r>
      <w:proofErr w:type="spellEnd"/>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Nội</w:t>
      </w:r>
      <w:proofErr w:type="spellEnd"/>
      <w:r w:rsidRPr="00D8620E">
        <w:rPr>
          <w:rFonts w:ascii="Times New Roman" w:hAnsi="Times New Roman"/>
          <w:sz w:val="24"/>
          <w:szCs w:val="24"/>
        </w:rPr>
        <w:t xml:space="preserve"> dung </w:t>
      </w:r>
      <w:proofErr w:type="spellStart"/>
      <w:r w:rsidRPr="00D8620E">
        <w:rPr>
          <w:rFonts w:ascii="Times New Roman" w:hAnsi="Times New Roman"/>
          <w:sz w:val="24"/>
          <w:szCs w:val="24"/>
        </w:rPr>
        <w:t>thay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00355F1F" w:rsidRPr="00D8620E">
        <w:rPr>
          <w:rFonts w:ascii="Times New Roman" w:hAnsi="Times New Roman"/>
          <w:sz w:val="24"/>
          <w:szCs w:val="24"/>
        </w:rPr>
        <w:t xml:space="preserve">: </w:t>
      </w:r>
      <w:proofErr w:type="spellStart"/>
      <w:r w:rsidR="00355F1F" w:rsidRPr="00D8620E">
        <w:rPr>
          <w:rFonts w:ascii="Times New Roman" w:hAnsi="Times New Roman"/>
          <w:b/>
          <w:i/>
          <w:sz w:val="24"/>
          <w:szCs w:val="24"/>
        </w:rPr>
        <w:t>Không</w:t>
      </w:r>
      <w:proofErr w:type="spellEnd"/>
      <w:r w:rsidR="00355F1F" w:rsidRPr="00D8620E">
        <w:rPr>
          <w:rFonts w:ascii="Times New Roman" w:hAnsi="Times New Roman"/>
          <w:b/>
          <w:i/>
          <w:sz w:val="24"/>
          <w:szCs w:val="24"/>
        </w:rPr>
        <w:t xml:space="preserve"> </w:t>
      </w:r>
      <w:proofErr w:type="spellStart"/>
      <w:r w:rsidR="00355F1F" w:rsidRPr="00D8620E">
        <w:rPr>
          <w:rFonts w:ascii="Times New Roman" w:hAnsi="Times New Roman"/>
          <w:b/>
          <w:i/>
          <w:sz w:val="24"/>
          <w:szCs w:val="24"/>
        </w:rPr>
        <w:t>có</w:t>
      </w:r>
      <w:proofErr w:type="spellEnd"/>
    </w:p>
    <w:p w:rsidR="00100534"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Nội</w:t>
      </w:r>
      <w:proofErr w:type="spellEnd"/>
      <w:r w:rsidRPr="00D8620E">
        <w:rPr>
          <w:rFonts w:ascii="Times New Roman" w:hAnsi="Times New Roman"/>
          <w:sz w:val="24"/>
          <w:szCs w:val="24"/>
        </w:rPr>
        <w:t xml:space="preserve"> dung </w:t>
      </w:r>
      <w:proofErr w:type="spellStart"/>
      <w:r w:rsidRPr="00D8620E">
        <w:rPr>
          <w:rFonts w:ascii="Times New Roman" w:hAnsi="Times New Roman"/>
          <w:sz w:val="24"/>
          <w:szCs w:val="24"/>
        </w:rPr>
        <w:t>Nghị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00355F1F" w:rsidRPr="00D8620E">
        <w:rPr>
          <w:rFonts w:ascii="Times New Roman" w:hAnsi="Times New Roman"/>
          <w:sz w:val="24"/>
          <w:szCs w:val="24"/>
        </w:rPr>
        <w:t>:</w:t>
      </w:r>
    </w:p>
    <w:p w:rsidR="00355F1F" w:rsidRPr="00D8620E" w:rsidRDefault="00355F1F"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24/01/2019,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00743A96" w:rsidRPr="00D8620E">
        <w:rPr>
          <w:rFonts w:ascii="Times New Roman" w:hAnsi="Times New Roman"/>
          <w:sz w:val="24"/>
          <w:szCs w:val="24"/>
        </w:rPr>
        <w:t>Nghị</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quyết</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Đại</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hội</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Nhà</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đầu</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tư</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Lần</w:t>
      </w:r>
      <w:proofErr w:type="spellEnd"/>
      <w:r w:rsidR="00743A96" w:rsidRPr="00D8620E">
        <w:rPr>
          <w:rFonts w:ascii="Times New Roman" w:hAnsi="Times New Roman"/>
          <w:sz w:val="24"/>
          <w:szCs w:val="24"/>
        </w:rPr>
        <w:t xml:space="preserve"> </w:t>
      </w:r>
      <w:proofErr w:type="spellStart"/>
      <w:r w:rsidR="00743A96" w:rsidRPr="00D8620E">
        <w:rPr>
          <w:rFonts w:ascii="Times New Roman" w:hAnsi="Times New Roman"/>
          <w:sz w:val="24"/>
          <w:szCs w:val="24"/>
        </w:rPr>
        <w:t>đầu</w:t>
      </w:r>
      <w:proofErr w:type="spellEnd"/>
      <w:r w:rsidR="00743A96" w:rsidRPr="00D8620E">
        <w:rPr>
          <w:rFonts w:ascii="Times New Roman" w:hAnsi="Times New Roman"/>
          <w:sz w:val="24"/>
          <w:szCs w:val="24"/>
        </w:rPr>
        <w:t xml:space="preserve"> </w:t>
      </w:r>
      <w:proofErr w:type="spellStart"/>
      <w:r w:rsidR="00F14AC7" w:rsidRPr="00D8620E">
        <w:rPr>
          <w:rFonts w:ascii="Times New Roman" w:hAnsi="Times New Roman"/>
          <w:sz w:val="24"/>
          <w:szCs w:val="24"/>
        </w:rPr>
        <w:t>với</w:t>
      </w:r>
      <w:proofErr w:type="spellEnd"/>
      <w:r w:rsidR="00F14AC7" w:rsidRPr="00D8620E">
        <w:rPr>
          <w:rFonts w:ascii="Times New Roman" w:hAnsi="Times New Roman"/>
          <w:sz w:val="24"/>
          <w:szCs w:val="24"/>
        </w:rPr>
        <w:t xml:space="preserve"> </w:t>
      </w:r>
      <w:proofErr w:type="spellStart"/>
      <w:r w:rsidR="00F14AC7" w:rsidRPr="00D8620E">
        <w:rPr>
          <w:rFonts w:ascii="Times New Roman" w:hAnsi="Times New Roman"/>
          <w:sz w:val="24"/>
          <w:szCs w:val="24"/>
        </w:rPr>
        <w:t>các</w:t>
      </w:r>
      <w:proofErr w:type="spellEnd"/>
      <w:r w:rsidR="00F14AC7" w:rsidRPr="00D8620E">
        <w:rPr>
          <w:rFonts w:ascii="Times New Roman" w:hAnsi="Times New Roman"/>
          <w:sz w:val="24"/>
          <w:szCs w:val="24"/>
        </w:rPr>
        <w:t xml:space="preserve"> </w:t>
      </w:r>
      <w:proofErr w:type="spellStart"/>
      <w:r w:rsidR="00F14AC7" w:rsidRPr="00D8620E">
        <w:rPr>
          <w:rFonts w:ascii="Times New Roman" w:hAnsi="Times New Roman"/>
          <w:sz w:val="24"/>
          <w:szCs w:val="24"/>
        </w:rPr>
        <w:t>nội</w:t>
      </w:r>
      <w:proofErr w:type="spellEnd"/>
      <w:r w:rsidR="00F14AC7" w:rsidRPr="00D8620E">
        <w:rPr>
          <w:rFonts w:ascii="Times New Roman" w:hAnsi="Times New Roman"/>
          <w:sz w:val="24"/>
          <w:szCs w:val="24"/>
        </w:rPr>
        <w:t xml:space="preserve"> dung </w:t>
      </w:r>
      <w:proofErr w:type="spellStart"/>
      <w:r w:rsidR="00F14AC7" w:rsidRPr="00D8620E">
        <w:rPr>
          <w:rFonts w:ascii="Times New Roman" w:hAnsi="Times New Roman"/>
          <w:sz w:val="24"/>
          <w:szCs w:val="24"/>
        </w:rPr>
        <w:t>như</w:t>
      </w:r>
      <w:proofErr w:type="spellEnd"/>
      <w:r w:rsidR="00F14AC7" w:rsidRPr="00D8620E">
        <w:rPr>
          <w:rFonts w:ascii="Times New Roman" w:hAnsi="Times New Roman"/>
          <w:sz w:val="24"/>
          <w:szCs w:val="24"/>
        </w:rPr>
        <w:t xml:space="preserve"> </w:t>
      </w:r>
      <w:proofErr w:type="spellStart"/>
      <w:r w:rsidR="00F14AC7" w:rsidRPr="00D8620E">
        <w:rPr>
          <w:rFonts w:ascii="Times New Roman" w:hAnsi="Times New Roman"/>
          <w:sz w:val="24"/>
          <w:szCs w:val="24"/>
        </w:rPr>
        <w:t>sau</w:t>
      </w:r>
      <w:proofErr w:type="spellEnd"/>
      <w:r w:rsidR="00F14AC7" w:rsidRPr="00D8620E">
        <w:rPr>
          <w:rFonts w:ascii="Times New Roman" w:hAnsi="Times New Roman"/>
          <w:sz w:val="24"/>
          <w:szCs w:val="24"/>
        </w:rPr>
        <w:t>:</w:t>
      </w:r>
    </w:p>
    <w:p w:rsidR="00F14AC7"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w:t>
      </w:r>
    </w:p>
    <w:p w:rsidR="00D827C2"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TNHH MTV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Dai-ichi</w:t>
      </w:r>
      <w:proofErr w:type="spellEnd"/>
      <w:r w:rsidRPr="00D8620E">
        <w:rPr>
          <w:rFonts w:ascii="Times New Roman" w:hAnsi="Times New Roman"/>
          <w:sz w:val="24"/>
          <w:szCs w:val="24"/>
        </w:rPr>
        <w:t xml:space="preserve"> Life Việt Nam;</w:t>
      </w:r>
    </w:p>
    <w:p w:rsidR="00D827C2"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TNHH MTV HSBC (Việt Nam)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w:t>
      </w:r>
    </w:p>
    <w:p w:rsidR="00D827C2"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viên</w:t>
      </w:r>
      <w:proofErr w:type="spellEnd"/>
      <w:r w:rsidRPr="00D8620E">
        <w:rPr>
          <w:rFonts w:ascii="Times New Roman" w:hAnsi="Times New Roman"/>
          <w:sz w:val="24"/>
          <w:szCs w:val="24"/>
        </w:rPr>
        <w:t xml:space="preserve">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nhiệm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2019-2021, bao </w:t>
      </w:r>
      <w:proofErr w:type="spellStart"/>
      <w:r w:rsidRPr="00D8620E">
        <w:rPr>
          <w:rFonts w:ascii="Times New Roman" w:hAnsi="Times New Roman"/>
          <w:sz w:val="24"/>
          <w:szCs w:val="24"/>
        </w:rPr>
        <w:t>gồm</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Đỗ</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Hùng</w:t>
      </w:r>
      <w:proofErr w:type="spellEnd"/>
      <w:r w:rsidRPr="00D8620E">
        <w:rPr>
          <w:rFonts w:ascii="Times New Roman" w:hAnsi="Times New Roman"/>
          <w:sz w:val="24"/>
          <w:szCs w:val="24"/>
        </w:rPr>
        <w:t xml:space="preserve"> Việt; (2) </w:t>
      </w:r>
      <w:proofErr w:type="spellStart"/>
      <w:r w:rsidRPr="00D8620E">
        <w:rPr>
          <w:rFonts w:ascii="Times New Roman" w:hAnsi="Times New Roman"/>
          <w:sz w:val="24"/>
          <w:szCs w:val="24"/>
        </w:rPr>
        <w:t>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Huỳnh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Văn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(3) </w:t>
      </w:r>
      <w:proofErr w:type="spellStart"/>
      <w:r w:rsidRPr="00D8620E">
        <w:rPr>
          <w:rFonts w:ascii="Times New Roman" w:hAnsi="Times New Roman"/>
          <w:sz w:val="24"/>
          <w:szCs w:val="24"/>
        </w:rPr>
        <w:t>Ông</w:t>
      </w:r>
      <w:proofErr w:type="spellEnd"/>
      <w:r w:rsidRPr="00D8620E">
        <w:rPr>
          <w:rFonts w:ascii="Times New Roman" w:hAnsi="Times New Roman"/>
          <w:sz w:val="24"/>
          <w:szCs w:val="24"/>
        </w:rPr>
        <w:t xml:space="preserve"> Nguyễn Gia Huy </w:t>
      </w:r>
      <w:proofErr w:type="spellStart"/>
      <w:r w:rsidRPr="00D8620E">
        <w:rPr>
          <w:rFonts w:ascii="Times New Roman" w:hAnsi="Times New Roman"/>
          <w:sz w:val="24"/>
          <w:szCs w:val="24"/>
        </w:rPr>
        <w:t>Chương</w:t>
      </w:r>
      <w:proofErr w:type="spellEnd"/>
      <w:r w:rsidRPr="00D8620E">
        <w:rPr>
          <w:rFonts w:ascii="Times New Roman" w:hAnsi="Times New Roman"/>
          <w:sz w:val="24"/>
          <w:szCs w:val="24"/>
        </w:rPr>
        <w:t>;</w:t>
      </w:r>
    </w:p>
    <w:p w:rsidR="00D827C2"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nhiệm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Đỗ</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Hùng</w:t>
      </w:r>
      <w:proofErr w:type="spellEnd"/>
      <w:r w:rsidRPr="00D8620E">
        <w:rPr>
          <w:rFonts w:ascii="Times New Roman" w:hAnsi="Times New Roman"/>
          <w:sz w:val="24"/>
          <w:szCs w:val="24"/>
        </w:rPr>
        <w:t xml:space="preserve"> Việt </w:t>
      </w:r>
      <w:proofErr w:type="spellStart"/>
      <w:r w:rsidRPr="00D8620E">
        <w:rPr>
          <w:rFonts w:ascii="Times New Roman" w:hAnsi="Times New Roman"/>
          <w:sz w:val="24"/>
          <w:szCs w:val="24"/>
        </w:rPr>
        <w:t>giữ</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tịch</w:t>
      </w:r>
      <w:proofErr w:type="spellEnd"/>
      <w:r w:rsidRPr="00D8620E">
        <w:rPr>
          <w:rFonts w:ascii="Times New Roman" w:hAnsi="Times New Roman"/>
          <w:sz w:val="24"/>
          <w:szCs w:val="24"/>
        </w:rPr>
        <w:t xml:space="preserve">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nhiệm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2019-2021;</w:t>
      </w:r>
    </w:p>
    <w:p w:rsidR="00D827C2"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thù</w:t>
      </w:r>
      <w:proofErr w:type="spellEnd"/>
      <w:r w:rsidRPr="00D8620E">
        <w:rPr>
          <w:rFonts w:ascii="Times New Roman" w:hAnsi="Times New Roman"/>
          <w:sz w:val="24"/>
          <w:szCs w:val="24"/>
        </w:rPr>
        <w:t xml:space="preserve"> lao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5.000.000 VNĐ/</w:t>
      </w:r>
      <w:proofErr w:type="spellStart"/>
      <w:r w:rsidRPr="00D8620E">
        <w:rPr>
          <w:rFonts w:ascii="Times New Roman" w:hAnsi="Times New Roman"/>
          <w:sz w:val="24"/>
          <w:szCs w:val="24"/>
        </w:rPr>
        <w:t>tháng</w:t>
      </w:r>
      <w:proofErr w:type="spellEnd"/>
      <w:r w:rsidRPr="00D8620E">
        <w:rPr>
          <w:rFonts w:ascii="Times New Roman" w:hAnsi="Times New Roman"/>
          <w:sz w:val="24"/>
          <w:szCs w:val="24"/>
        </w:rPr>
        <w:t>/</w:t>
      </w:r>
      <w:proofErr w:type="spellStart"/>
      <w:r w:rsidRPr="00D8620E">
        <w:rPr>
          <w:rFonts w:ascii="Times New Roman" w:hAnsi="Times New Roman"/>
          <w:sz w:val="24"/>
          <w:szCs w:val="24"/>
        </w:rPr>
        <w:t>người</w:t>
      </w:r>
      <w:proofErr w:type="spellEnd"/>
      <w:r w:rsidRPr="00D8620E">
        <w:rPr>
          <w:rFonts w:ascii="Times New Roman" w:hAnsi="Times New Roman"/>
          <w:sz w:val="24"/>
          <w:szCs w:val="24"/>
        </w:rPr>
        <w:t>;</w:t>
      </w:r>
    </w:p>
    <w:p w:rsidR="002A7FEF"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sách</w:t>
      </w:r>
      <w:proofErr w:type="spellEnd"/>
      <w:r w:rsidRPr="00D8620E">
        <w:rPr>
          <w:rFonts w:ascii="Times New Roman" w:hAnsi="Times New Roman"/>
          <w:sz w:val="24"/>
          <w:szCs w:val="24"/>
        </w:rPr>
        <w:t xml:space="preserve"> 03 (</w:t>
      </w:r>
      <w:proofErr w:type="spellStart"/>
      <w:r w:rsidRPr="00D8620E">
        <w:rPr>
          <w:rFonts w:ascii="Times New Roman" w:hAnsi="Times New Roman"/>
          <w:sz w:val="24"/>
          <w:szCs w:val="24"/>
        </w:rPr>
        <w:t>ba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KPMG, E&amp;Y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PWC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ủy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quyền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chọn</w:t>
      </w:r>
      <w:proofErr w:type="spellEnd"/>
      <w:r w:rsidRPr="00D8620E">
        <w:rPr>
          <w:rFonts w:ascii="Times New Roman" w:hAnsi="Times New Roman"/>
          <w:sz w:val="24"/>
          <w:szCs w:val="24"/>
        </w:rPr>
        <w:t xml:space="preserve"> 01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03 (</w:t>
      </w:r>
      <w:proofErr w:type="spellStart"/>
      <w:r w:rsidRPr="00D8620E">
        <w:rPr>
          <w:rFonts w:ascii="Times New Roman" w:hAnsi="Times New Roman"/>
          <w:sz w:val="24"/>
          <w:szCs w:val="24"/>
        </w:rPr>
        <w:t>ba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KPMG, E&amp;Y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PWC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w:t>
      </w:r>
    </w:p>
    <w:p w:rsidR="00780773" w:rsidRPr="00D8620E"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ủy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quyền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DFVN </w:t>
      </w:r>
      <w:proofErr w:type="spellStart"/>
      <w:r w:rsidRPr="00D8620E">
        <w:rPr>
          <w:rFonts w:ascii="Times New Roman" w:hAnsi="Times New Roman"/>
          <w:sz w:val="24"/>
          <w:szCs w:val="24"/>
        </w:rPr>
        <w:t>ký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Chuyển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nhượng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liên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quan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w:t>
      </w:r>
      <w:r w:rsidR="00780773" w:rsidRPr="00D8620E">
        <w:rPr>
          <w:rFonts w:ascii="Times New Roman" w:hAnsi="Times New Roman"/>
          <w:sz w:val="24"/>
          <w:szCs w:val="24"/>
        </w:rPr>
        <w:t xml:space="preserve"> </w:t>
      </w:r>
    </w:p>
    <w:p w:rsidR="00780773" w:rsidRDefault="00100534" w:rsidP="004F236F">
      <w:pPr>
        <w:pStyle w:val="ListParagraph"/>
        <w:numPr>
          <w:ilvl w:val="0"/>
          <w:numId w:val="2"/>
        </w:numPr>
        <w:tabs>
          <w:tab w:val="left" w:pos="270"/>
          <w:tab w:val="left" w:pos="1134"/>
        </w:tabs>
        <w:spacing w:before="120" w:after="120" w:line="300" w:lineRule="auto"/>
        <w:jc w:val="both"/>
        <w:rPr>
          <w:rFonts w:ascii="Times New Roman" w:hAnsi="Times New Roman"/>
          <w:sz w:val="24"/>
          <w:szCs w:val="24"/>
          <w:lang w:val="pt-BR"/>
        </w:rPr>
      </w:pPr>
      <w:r w:rsidRPr="00D8620E">
        <w:rPr>
          <w:rFonts w:ascii="Times New Roman" w:hAnsi="Times New Roman"/>
          <w:sz w:val="24"/>
          <w:szCs w:val="24"/>
        </w:rPr>
        <w:t xml:space="preserve">Ý </w:t>
      </w:r>
      <w:proofErr w:type="spellStart"/>
      <w:r w:rsidRPr="00D8620E">
        <w:rPr>
          <w:rFonts w:ascii="Times New Roman" w:hAnsi="Times New Roman"/>
          <w:sz w:val="24"/>
          <w:szCs w:val="24"/>
        </w:rPr>
        <w:t>kiến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xét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nội</w:t>
      </w:r>
      <w:proofErr w:type="spellEnd"/>
      <w:r w:rsidRPr="00D8620E">
        <w:rPr>
          <w:rFonts w:ascii="Times New Roman" w:hAnsi="Times New Roman"/>
          <w:sz w:val="24"/>
          <w:szCs w:val="24"/>
        </w:rPr>
        <w:t xml:space="preserve"> dung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45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004352B7"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00780773" w:rsidRPr="00D8620E">
        <w:rPr>
          <w:rFonts w:ascii="Times New Roman" w:hAnsi="Times New Roman"/>
          <w:sz w:val="24"/>
          <w:szCs w:val="24"/>
        </w:rPr>
        <w:t xml:space="preserve">: </w:t>
      </w:r>
      <w:r w:rsidR="00780773" w:rsidRPr="00D8620E">
        <w:rPr>
          <w:rFonts w:ascii="Times New Roman" w:hAnsi="Times New Roman"/>
          <w:sz w:val="24"/>
          <w:szCs w:val="24"/>
          <w:lang w:val="nl-NL"/>
        </w:rPr>
        <w:t>Công ty Quản lý Quỹ (“CTQLQ”)</w:t>
      </w:r>
      <w:r w:rsidR="00780773" w:rsidRPr="00D8620E">
        <w:rPr>
          <w:rFonts w:ascii="Times New Roman" w:hAnsi="Times New Roman"/>
          <w:sz w:val="24"/>
          <w:szCs w:val="24"/>
          <w:lang w:val="pt-BR"/>
        </w:rPr>
        <w:t xml:space="preserve"> đã thực hiện nghiêm chỉnh việc lập các báo cáo tuần, tháng, quý, bán niên theo quy định cho Ủy Ban Chứng Khoán Nhà Nước.</w:t>
      </w:r>
    </w:p>
    <w:p w:rsidR="00D8620E" w:rsidRPr="00D8620E" w:rsidRDefault="00D8620E" w:rsidP="00D8620E">
      <w:pPr>
        <w:pStyle w:val="ListParagraph"/>
        <w:tabs>
          <w:tab w:val="left" w:pos="270"/>
          <w:tab w:val="left" w:pos="1134"/>
        </w:tabs>
        <w:spacing w:before="120" w:after="120" w:line="300" w:lineRule="auto"/>
        <w:ind w:left="360"/>
        <w:jc w:val="both"/>
        <w:rPr>
          <w:rFonts w:ascii="Times New Roman" w:hAnsi="Times New Roman"/>
          <w:sz w:val="24"/>
          <w:szCs w:val="24"/>
          <w:lang w:val="pt-BR"/>
        </w:rPr>
      </w:pPr>
    </w:p>
    <w:p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Báo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kết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quả</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hoạt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động</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của</w:t>
      </w:r>
      <w:proofErr w:type="spellEnd"/>
      <w:r w:rsidRPr="00D8620E">
        <w:rPr>
          <w:rFonts w:ascii="Times New Roman" w:hAnsi="Times New Roman"/>
          <w:b/>
          <w:sz w:val="24"/>
          <w:szCs w:val="24"/>
        </w:rPr>
        <w:t xml:space="preserve"> </w:t>
      </w:r>
      <w:proofErr w:type="spellStart"/>
      <w:r w:rsidR="004352B7" w:rsidRPr="00D8620E">
        <w:rPr>
          <w:rFonts w:ascii="Times New Roman" w:hAnsi="Times New Roman"/>
          <w:b/>
          <w:sz w:val="24"/>
          <w:szCs w:val="24"/>
        </w:rPr>
        <w:t>Q</w:t>
      </w:r>
      <w:r w:rsidRPr="00D8620E">
        <w:rPr>
          <w:rFonts w:ascii="Times New Roman" w:hAnsi="Times New Roman"/>
          <w:b/>
          <w:sz w:val="24"/>
          <w:szCs w:val="24"/>
        </w:rPr>
        <w:t>uỹ</w:t>
      </w:r>
      <w:proofErr w:type="spellEnd"/>
    </w:p>
    <w:p w:rsidR="00CE15F6" w:rsidRPr="00D8620E" w:rsidRDefault="00100534" w:rsidP="00CE15F6">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i/>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tin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điểm</w:t>
      </w:r>
      <w:proofErr w:type="spellEnd"/>
      <w:r w:rsidRPr="00D8620E">
        <w:rPr>
          <w:rFonts w:ascii="Times New Roman" w:hAnsi="Times New Roman"/>
          <w:sz w:val="24"/>
          <w:szCs w:val="24"/>
        </w:rPr>
        <w:t xml:space="preserve"> </w:t>
      </w:r>
      <w:r w:rsidR="00CE15F6" w:rsidRPr="00D8620E">
        <w:rPr>
          <w:rFonts w:ascii="Times New Roman" w:hAnsi="Times New Roman"/>
          <w:sz w:val="24"/>
          <w:szCs w:val="24"/>
        </w:rPr>
        <w:t>31</w:t>
      </w:r>
      <w:r w:rsidRPr="00D8620E">
        <w:rPr>
          <w:rFonts w:ascii="Times New Roman" w:hAnsi="Times New Roman"/>
          <w:sz w:val="24"/>
          <w:szCs w:val="24"/>
        </w:rPr>
        <w:t>/</w:t>
      </w:r>
      <w:r w:rsidR="00CE15F6" w:rsidRPr="00D8620E">
        <w:rPr>
          <w:rFonts w:ascii="Times New Roman" w:hAnsi="Times New Roman"/>
          <w:sz w:val="24"/>
          <w:szCs w:val="24"/>
        </w:rPr>
        <w:t>12</w:t>
      </w:r>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3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w:t>
      </w:r>
      <w:r w:rsidR="00FF6688" w:rsidRPr="00D8620E">
        <w:rPr>
          <w:rFonts w:ascii="Times New Roman" w:hAnsi="Times New Roman"/>
          <w:sz w:val="24"/>
          <w:szCs w:val="24"/>
        </w:rPr>
        <w:t>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thể</w:t>
      </w:r>
      <w:proofErr w:type="spellEnd"/>
      <w:r w:rsidRPr="00D8620E">
        <w:rPr>
          <w:rFonts w:ascii="Times New Roman" w:hAnsi="Times New Roman"/>
          <w:sz w:val="24"/>
          <w:szCs w:val="24"/>
        </w:rPr>
        <w:t>:</w:t>
      </w:r>
    </w:p>
    <w:p w:rsidR="00CE15F6" w:rsidRPr="00D8620E" w:rsidRDefault="00540C7D" w:rsidP="00E250EA">
      <w:pPr>
        <w:pStyle w:val="ListParagraph"/>
        <w:numPr>
          <w:ilvl w:val="0"/>
          <w:numId w:val="23"/>
        </w:numPr>
        <w:tabs>
          <w:tab w:val="left" w:pos="270"/>
          <w:tab w:val="left" w:pos="1134"/>
        </w:tabs>
        <w:spacing w:after="0" w:line="300" w:lineRule="auto"/>
        <w:jc w:val="both"/>
        <w:rPr>
          <w:rFonts w:ascii="Times New Roman" w:hAnsi="Times New Roman"/>
          <w:sz w:val="24"/>
          <w:szCs w:val="24"/>
          <w:lang w:val="vi-VN"/>
        </w:rPr>
      </w:pPr>
      <w:r w:rsidRPr="00D8620E">
        <w:rPr>
          <w:rFonts w:ascii="Times New Roman" w:hAnsi="Times New Roman"/>
          <w:sz w:val="24"/>
          <w:szCs w:val="24"/>
        </w:rPr>
        <w:lastRenderedPageBreak/>
        <w:t>Danh m</w:t>
      </w:r>
      <w:r w:rsidRPr="00D8620E">
        <w:rPr>
          <w:rFonts w:ascii="Times New Roman" w:hAnsi="Times New Roman"/>
          <w:sz w:val="24"/>
          <w:szCs w:val="24"/>
          <w:lang w:val="vi-VN"/>
        </w:rPr>
        <w:t xml:space="preserve">ục của Quỹ DFVN-CAF tại ngày kết thúc năm 2019 (năm đầu tiên hoạt động của Quỹ) gồm: </w:t>
      </w:r>
      <w:r w:rsidRPr="00D8620E">
        <w:rPr>
          <w:rFonts w:ascii="Times New Roman" w:hAnsi="Times New Roman"/>
          <w:sz w:val="24"/>
          <w:szCs w:val="24"/>
          <w:highlight w:val="yellow"/>
          <w:lang w:val="vi-VN"/>
        </w:rPr>
        <w:t>9</w:t>
      </w:r>
      <w:r w:rsidR="009B55A4" w:rsidRPr="00D8620E">
        <w:rPr>
          <w:rFonts w:ascii="Times New Roman" w:hAnsi="Times New Roman"/>
          <w:sz w:val="24"/>
          <w:szCs w:val="24"/>
          <w:highlight w:val="yellow"/>
        </w:rPr>
        <w:t>1</w:t>
      </w:r>
      <w:r w:rsidRPr="00D8620E">
        <w:rPr>
          <w:rFonts w:ascii="Times New Roman" w:hAnsi="Times New Roman"/>
          <w:sz w:val="24"/>
          <w:szCs w:val="24"/>
          <w:highlight w:val="yellow"/>
          <w:lang w:val="vi-VN"/>
        </w:rPr>
        <w:t>,</w:t>
      </w:r>
      <w:r w:rsidR="009B55A4" w:rsidRPr="00D8620E">
        <w:rPr>
          <w:rFonts w:ascii="Times New Roman" w:hAnsi="Times New Roman"/>
          <w:sz w:val="24"/>
          <w:szCs w:val="24"/>
          <w:highlight w:val="yellow"/>
        </w:rPr>
        <w:t>41</w:t>
      </w:r>
      <w:r w:rsidRPr="00D8620E">
        <w:rPr>
          <w:rFonts w:ascii="Times New Roman" w:hAnsi="Times New Roman"/>
          <w:sz w:val="24"/>
          <w:szCs w:val="24"/>
          <w:highlight w:val="yellow"/>
          <w:lang w:val="vi-VN"/>
        </w:rPr>
        <w:t>% Cổ phiếu niêm yết</w:t>
      </w:r>
      <w:r w:rsidR="009B55A4" w:rsidRPr="00D8620E">
        <w:rPr>
          <w:rFonts w:ascii="Times New Roman" w:hAnsi="Times New Roman"/>
          <w:sz w:val="24"/>
          <w:szCs w:val="24"/>
          <w:highlight w:val="yellow"/>
        </w:rPr>
        <w:t>, 0,42%</w:t>
      </w:r>
      <w:r w:rsidRPr="00D8620E">
        <w:rPr>
          <w:rFonts w:ascii="Times New Roman" w:hAnsi="Times New Roman"/>
          <w:sz w:val="24"/>
          <w:szCs w:val="24"/>
          <w:highlight w:val="yellow"/>
          <w:lang w:val="vi-VN"/>
        </w:rPr>
        <w:t xml:space="preserve"> </w:t>
      </w:r>
      <w:proofErr w:type="spellStart"/>
      <w:r w:rsidR="009B55A4" w:rsidRPr="00D8620E">
        <w:rPr>
          <w:rFonts w:ascii="Times New Roman" w:hAnsi="Times New Roman"/>
          <w:sz w:val="24"/>
          <w:szCs w:val="24"/>
          <w:highlight w:val="yellow"/>
        </w:rPr>
        <w:t>Tài</w:t>
      </w:r>
      <w:proofErr w:type="spellEnd"/>
      <w:r w:rsidR="009B55A4" w:rsidRPr="00D8620E">
        <w:rPr>
          <w:rFonts w:ascii="Times New Roman" w:hAnsi="Times New Roman"/>
          <w:sz w:val="24"/>
          <w:szCs w:val="24"/>
          <w:highlight w:val="yellow"/>
        </w:rPr>
        <w:t xml:space="preserve"> </w:t>
      </w:r>
      <w:proofErr w:type="spellStart"/>
      <w:r w:rsidR="009B55A4" w:rsidRPr="00D8620E">
        <w:rPr>
          <w:rFonts w:ascii="Times New Roman" w:hAnsi="Times New Roman"/>
          <w:sz w:val="24"/>
          <w:szCs w:val="24"/>
          <w:highlight w:val="yellow"/>
        </w:rPr>
        <w:t>sản</w:t>
      </w:r>
      <w:proofErr w:type="spellEnd"/>
      <w:r w:rsidR="009B55A4" w:rsidRPr="00D8620E">
        <w:rPr>
          <w:rFonts w:ascii="Times New Roman" w:hAnsi="Times New Roman"/>
          <w:sz w:val="24"/>
          <w:szCs w:val="24"/>
          <w:highlight w:val="yellow"/>
        </w:rPr>
        <w:t xml:space="preserve"> </w:t>
      </w:r>
      <w:proofErr w:type="spellStart"/>
      <w:r w:rsidR="009B55A4" w:rsidRPr="00D8620E">
        <w:rPr>
          <w:rFonts w:ascii="Times New Roman" w:hAnsi="Times New Roman"/>
          <w:sz w:val="24"/>
          <w:szCs w:val="24"/>
          <w:highlight w:val="yellow"/>
        </w:rPr>
        <w:t>khác</w:t>
      </w:r>
      <w:proofErr w:type="spellEnd"/>
      <w:r w:rsidR="009B55A4" w:rsidRPr="00D8620E">
        <w:rPr>
          <w:rFonts w:ascii="Times New Roman" w:hAnsi="Times New Roman"/>
          <w:sz w:val="24"/>
          <w:szCs w:val="24"/>
          <w:highlight w:val="yellow"/>
        </w:rPr>
        <w:t xml:space="preserve"> </w:t>
      </w:r>
      <w:r w:rsidRPr="00D8620E">
        <w:rPr>
          <w:rFonts w:ascii="Times New Roman" w:hAnsi="Times New Roman"/>
          <w:sz w:val="24"/>
          <w:szCs w:val="24"/>
          <w:highlight w:val="yellow"/>
          <w:lang w:val="vi-VN"/>
        </w:rPr>
        <w:t xml:space="preserve">và </w:t>
      </w:r>
      <w:r w:rsidR="009B55A4" w:rsidRPr="00D8620E">
        <w:rPr>
          <w:rFonts w:ascii="Times New Roman" w:hAnsi="Times New Roman"/>
          <w:sz w:val="24"/>
          <w:szCs w:val="24"/>
          <w:highlight w:val="yellow"/>
        </w:rPr>
        <w:t>8,17</w:t>
      </w:r>
      <w:r w:rsidRPr="00D8620E">
        <w:rPr>
          <w:rFonts w:ascii="Times New Roman" w:hAnsi="Times New Roman"/>
          <w:sz w:val="24"/>
          <w:szCs w:val="24"/>
          <w:highlight w:val="yellow"/>
          <w:lang w:val="vi-VN"/>
        </w:rPr>
        <w:t>% Tiền mặt tại ngân hàng</w:t>
      </w:r>
      <w:r w:rsidRPr="00D8620E">
        <w:rPr>
          <w:rFonts w:ascii="Times New Roman" w:hAnsi="Times New Roman"/>
          <w:sz w:val="24"/>
          <w:szCs w:val="24"/>
          <w:lang w:val="vi-VN"/>
        </w:rPr>
        <w:t xml:space="preserve">. Tỷ lệ phân bổ theo ngành </w:t>
      </w:r>
      <w:proofErr w:type="spellStart"/>
      <w:r w:rsidR="009B55A4" w:rsidRPr="00D8620E">
        <w:rPr>
          <w:rFonts w:ascii="Times New Roman" w:hAnsi="Times New Roman"/>
          <w:sz w:val="24"/>
          <w:szCs w:val="24"/>
        </w:rPr>
        <w:t>của</w:t>
      </w:r>
      <w:proofErr w:type="spellEnd"/>
      <w:r w:rsidR="009B55A4" w:rsidRPr="00D8620E">
        <w:rPr>
          <w:rFonts w:ascii="Times New Roman" w:hAnsi="Times New Roman"/>
          <w:sz w:val="24"/>
          <w:szCs w:val="24"/>
        </w:rPr>
        <w:t xml:space="preserve"> </w:t>
      </w:r>
      <w:proofErr w:type="spellStart"/>
      <w:r w:rsidR="009B55A4" w:rsidRPr="00D8620E">
        <w:rPr>
          <w:rFonts w:ascii="Times New Roman" w:hAnsi="Times New Roman"/>
          <w:sz w:val="24"/>
          <w:szCs w:val="24"/>
        </w:rPr>
        <w:t>cổ</w:t>
      </w:r>
      <w:proofErr w:type="spellEnd"/>
      <w:r w:rsidR="009B55A4" w:rsidRPr="00D8620E">
        <w:rPr>
          <w:rFonts w:ascii="Times New Roman" w:hAnsi="Times New Roman"/>
          <w:sz w:val="24"/>
          <w:szCs w:val="24"/>
        </w:rPr>
        <w:t xml:space="preserve"> </w:t>
      </w:r>
      <w:proofErr w:type="spellStart"/>
      <w:r w:rsidR="009B55A4" w:rsidRPr="00D8620E">
        <w:rPr>
          <w:rFonts w:ascii="Times New Roman" w:hAnsi="Times New Roman"/>
          <w:sz w:val="24"/>
          <w:szCs w:val="24"/>
        </w:rPr>
        <w:t>phiếu</w:t>
      </w:r>
      <w:proofErr w:type="spellEnd"/>
      <w:r w:rsidR="009B55A4" w:rsidRPr="00D8620E">
        <w:rPr>
          <w:rFonts w:ascii="Times New Roman" w:hAnsi="Times New Roman"/>
          <w:sz w:val="24"/>
          <w:szCs w:val="24"/>
        </w:rPr>
        <w:t xml:space="preserve"> </w:t>
      </w:r>
      <w:proofErr w:type="spellStart"/>
      <w:r w:rsidR="009B55A4" w:rsidRPr="00D8620E">
        <w:rPr>
          <w:rFonts w:ascii="Times New Roman" w:hAnsi="Times New Roman"/>
          <w:sz w:val="24"/>
          <w:szCs w:val="24"/>
        </w:rPr>
        <w:t>niêm</w:t>
      </w:r>
      <w:proofErr w:type="spellEnd"/>
      <w:r w:rsidR="009B55A4" w:rsidRPr="00D8620E">
        <w:rPr>
          <w:rFonts w:ascii="Times New Roman" w:hAnsi="Times New Roman"/>
          <w:sz w:val="24"/>
          <w:szCs w:val="24"/>
        </w:rPr>
        <w:t xml:space="preserve"> </w:t>
      </w:r>
      <w:proofErr w:type="spellStart"/>
      <w:r w:rsidR="009B55A4" w:rsidRPr="00D8620E">
        <w:rPr>
          <w:rFonts w:ascii="Times New Roman" w:hAnsi="Times New Roman"/>
          <w:sz w:val="24"/>
          <w:szCs w:val="24"/>
        </w:rPr>
        <w:t>yết</w:t>
      </w:r>
      <w:proofErr w:type="spellEnd"/>
      <w:r w:rsidR="009B55A4" w:rsidRPr="00D8620E">
        <w:rPr>
          <w:rFonts w:ascii="Times New Roman" w:hAnsi="Times New Roman"/>
          <w:sz w:val="24"/>
          <w:szCs w:val="24"/>
        </w:rPr>
        <w:t xml:space="preserve"> </w:t>
      </w:r>
      <w:r w:rsidRPr="00D8620E">
        <w:rPr>
          <w:rFonts w:ascii="Times New Roman" w:hAnsi="Times New Roman"/>
          <w:sz w:val="24"/>
          <w:szCs w:val="24"/>
          <w:lang w:val="vi-VN"/>
        </w:rPr>
        <w:t>như bảng bên dưới:</w:t>
      </w:r>
    </w:p>
    <w:tbl>
      <w:tblPr>
        <w:tblW w:w="9630" w:type="dxa"/>
        <w:tblInd w:w="-5" w:type="dxa"/>
        <w:tblCellMar>
          <w:left w:w="0" w:type="dxa"/>
          <w:right w:w="0" w:type="dxa"/>
        </w:tblCellMar>
        <w:tblLook w:val="04A0" w:firstRow="1" w:lastRow="0" w:firstColumn="1" w:lastColumn="0" w:noHBand="0" w:noVBand="1"/>
      </w:tblPr>
      <w:tblGrid>
        <w:gridCol w:w="4230"/>
        <w:gridCol w:w="1890"/>
        <w:gridCol w:w="1800"/>
        <w:gridCol w:w="1710"/>
      </w:tblGrid>
      <w:tr w:rsidR="00CE15F6" w:rsidRPr="00D8620E" w:rsidTr="00D8620E">
        <w:trPr>
          <w:trHeight w:val="300"/>
        </w:trPr>
        <w:tc>
          <w:tcPr>
            <w:tcW w:w="4230" w:type="dxa"/>
            <w:vMerge w:val="restart"/>
            <w:tcBorders>
              <w:top w:val="single" w:sz="4" w:space="0" w:color="auto"/>
              <w:left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rsidR="00CE15F6" w:rsidRPr="00D8620E" w:rsidRDefault="00CE15F6" w:rsidP="00C503F3">
            <w:pPr>
              <w:tabs>
                <w:tab w:val="left" w:pos="270"/>
                <w:tab w:val="left" w:pos="1134"/>
              </w:tabs>
              <w:spacing w:after="0" w:line="300" w:lineRule="auto"/>
              <w:jc w:val="center"/>
              <w:rPr>
                <w:rFonts w:ascii="Times New Roman" w:hAnsi="Times New Roman"/>
                <w:b/>
                <w:sz w:val="24"/>
                <w:szCs w:val="24"/>
                <w:lang w:val="nl-NL"/>
              </w:rPr>
            </w:pPr>
            <w:proofErr w:type="spellStart"/>
            <w:r w:rsidRPr="00D8620E">
              <w:rPr>
                <w:rFonts w:ascii="Times New Roman" w:hAnsi="Times New Roman"/>
                <w:b/>
                <w:sz w:val="24"/>
                <w:szCs w:val="24"/>
              </w:rPr>
              <w:t>Ngành</w:t>
            </w:r>
            <w:proofErr w:type="spellEnd"/>
          </w:p>
        </w:tc>
        <w:tc>
          <w:tcPr>
            <w:tcW w:w="5400" w:type="dxa"/>
            <w:gridSpan w:val="3"/>
            <w:tcBorders>
              <w:top w:val="single" w:sz="4" w:space="0" w:color="auto"/>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CE15F6" w:rsidRPr="00D8620E" w:rsidRDefault="00CE15F6" w:rsidP="00C503F3">
            <w:pPr>
              <w:tabs>
                <w:tab w:val="left" w:pos="270"/>
                <w:tab w:val="left" w:pos="1134"/>
              </w:tabs>
              <w:spacing w:after="0" w:line="300" w:lineRule="auto"/>
              <w:jc w:val="center"/>
              <w:rPr>
                <w:rFonts w:ascii="Times New Roman" w:hAnsi="Times New Roman"/>
                <w:b/>
                <w:bCs/>
                <w:sz w:val="24"/>
                <w:szCs w:val="24"/>
              </w:rPr>
            </w:pPr>
            <w:r w:rsidRPr="00D8620E">
              <w:rPr>
                <w:rFonts w:ascii="Times New Roman" w:hAnsi="Times New Roman"/>
                <w:b/>
                <w:bCs/>
                <w:sz w:val="24"/>
                <w:szCs w:val="24"/>
              </w:rPr>
              <w:t>DFVN-CAF</w:t>
            </w:r>
          </w:p>
        </w:tc>
      </w:tr>
      <w:tr w:rsidR="00CE15F6" w:rsidRPr="00D8620E" w:rsidTr="00D8620E">
        <w:trPr>
          <w:trHeight w:val="300"/>
        </w:trPr>
        <w:tc>
          <w:tcPr>
            <w:tcW w:w="4230" w:type="dxa"/>
            <w:vMerge/>
            <w:tcBorders>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CE15F6" w:rsidRPr="00D8620E" w:rsidRDefault="00CE15F6" w:rsidP="00CE15F6">
            <w:pPr>
              <w:tabs>
                <w:tab w:val="left" w:pos="270"/>
                <w:tab w:val="left" w:pos="1134"/>
              </w:tabs>
              <w:spacing w:after="0" w:line="300" w:lineRule="auto"/>
              <w:jc w:val="both"/>
              <w:rPr>
                <w:rFonts w:ascii="Times New Roman" w:hAnsi="Times New Roman"/>
                <w:b/>
                <w:sz w:val="24"/>
                <w:szCs w:val="24"/>
              </w:rPr>
            </w:pPr>
          </w:p>
        </w:tc>
        <w:tc>
          <w:tcPr>
            <w:tcW w:w="189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CE15F6" w:rsidRPr="00D8620E" w:rsidRDefault="00F04462" w:rsidP="00C503F3">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31/12/2019</w:t>
            </w:r>
          </w:p>
        </w:tc>
        <w:tc>
          <w:tcPr>
            <w:tcW w:w="180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CE15F6" w:rsidRPr="00D8620E" w:rsidRDefault="00F04462" w:rsidP="00C503F3">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31/12/2018 (*)</w:t>
            </w:r>
          </w:p>
        </w:tc>
        <w:tc>
          <w:tcPr>
            <w:tcW w:w="171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CE15F6" w:rsidRPr="00D8620E" w:rsidRDefault="00F04462" w:rsidP="00C503F3">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31/12/2017 (*)</w:t>
            </w: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chính</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34,5%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21,5%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Hàng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tiêu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dùng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10,1%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lẻ</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8,7%</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nghiệp</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7,0%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nghệ</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thông</w:t>
            </w:r>
            <w:proofErr w:type="spellEnd"/>
            <w:r w:rsidRPr="00D8620E">
              <w:rPr>
                <w:rFonts w:ascii="Times New Roman" w:eastAsia="Times New Roman" w:hAnsi="Times New Roman"/>
                <w:color w:val="000000"/>
                <w:sz w:val="24"/>
                <w:szCs w:val="24"/>
              </w:rPr>
              <w:t xml:space="preserve"> tin</w:t>
            </w:r>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4,7%</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Tiền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mặt</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4,2%</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Vật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liệu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xây</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dựng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3,9%</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Tiện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ích</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Del="00C108B3" w:rsidRDefault="00540C7D" w:rsidP="00540C7D">
            <w:pPr>
              <w:tabs>
                <w:tab w:val="left" w:pos="270"/>
                <w:tab w:val="left" w:pos="1134"/>
              </w:tabs>
              <w:spacing w:after="0" w:line="300" w:lineRule="auto"/>
              <w:jc w:val="center"/>
              <w:rPr>
                <w:rFonts w:ascii="Times New Roman" w:hAnsi="Times New Roman"/>
                <w:sz w:val="24"/>
                <w:szCs w:val="24"/>
                <w:lang w:val="vi-VN"/>
              </w:rPr>
            </w:pPr>
            <w:r w:rsidRPr="00D8620E">
              <w:rPr>
                <w:rFonts w:ascii="Times New Roman" w:hAnsi="Times New Roman"/>
                <w:sz w:val="24"/>
                <w:szCs w:val="24"/>
                <w:lang w:val="vi-VN"/>
              </w:rPr>
              <w:t>3,7%</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540C7D">
            <w:pPr>
              <w:tabs>
                <w:tab w:val="left" w:pos="270"/>
                <w:tab w:val="left" w:pos="1134"/>
              </w:tabs>
              <w:spacing w:after="0" w:line="300" w:lineRule="auto"/>
              <w:jc w:val="both"/>
              <w:rPr>
                <w:rFonts w:ascii="Times New Roman" w:hAnsi="Times New Roman"/>
                <w:sz w:val="24"/>
                <w:szCs w:val="24"/>
              </w:rPr>
            </w:pPr>
          </w:p>
        </w:tc>
      </w:tr>
      <w:tr w:rsidR="00540C7D" w:rsidRPr="00D8620E" w:rsidTr="00D8620E">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D8620E">
            <w:pPr>
              <w:spacing w:after="0"/>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Năng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D8620E">
            <w:pPr>
              <w:tabs>
                <w:tab w:val="left" w:pos="270"/>
                <w:tab w:val="left" w:pos="1134"/>
              </w:tabs>
              <w:spacing w:after="0"/>
              <w:jc w:val="center"/>
              <w:rPr>
                <w:rFonts w:ascii="Times New Roman" w:hAnsi="Times New Roman"/>
                <w:sz w:val="24"/>
                <w:szCs w:val="24"/>
                <w:lang w:val="vi-VN"/>
              </w:rPr>
            </w:pPr>
            <w:r w:rsidRPr="00D8620E">
              <w:rPr>
                <w:rFonts w:ascii="Times New Roman" w:hAnsi="Times New Roman"/>
                <w:sz w:val="24"/>
                <w:szCs w:val="24"/>
                <w:lang w:val="vi-VN"/>
              </w:rPr>
              <w:t>1,7%</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D8620E">
            <w:pPr>
              <w:tabs>
                <w:tab w:val="left" w:pos="270"/>
                <w:tab w:val="left" w:pos="1134"/>
              </w:tabs>
              <w:spacing w:after="0"/>
              <w:jc w:val="both"/>
              <w:rPr>
                <w:rFonts w:ascii="Times New Roman" w:hAnsi="Times New Roman"/>
                <w:sz w:val="24"/>
                <w:szCs w:val="24"/>
              </w:rPr>
            </w:pP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0C7D" w:rsidRPr="00D8620E" w:rsidRDefault="00540C7D" w:rsidP="00D8620E">
            <w:pPr>
              <w:tabs>
                <w:tab w:val="left" w:pos="270"/>
                <w:tab w:val="left" w:pos="1134"/>
              </w:tabs>
              <w:spacing w:after="0"/>
              <w:jc w:val="both"/>
              <w:rPr>
                <w:rFonts w:ascii="Times New Roman" w:hAnsi="Times New Roman"/>
                <w:sz w:val="24"/>
                <w:szCs w:val="24"/>
              </w:rPr>
            </w:pPr>
          </w:p>
        </w:tc>
      </w:tr>
      <w:tr w:rsidR="00AF243A" w:rsidRPr="00D8620E" w:rsidTr="00D8620E">
        <w:trPr>
          <w:trHeight w:val="245"/>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F243A" w:rsidRPr="00D8620E" w:rsidRDefault="00AF243A" w:rsidP="00D8620E">
            <w:pPr>
              <w:spacing w:after="0"/>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cộng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F243A" w:rsidRPr="00D8620E" w:rsidRDefault="00AF243A" w:rsidP="00D8620E">
            <w:pPr>
              <w:tabs>
                <w:tab w:val="left" w:pos="270"/>
                <w:tab w:val="left" w:pos="1134"/>
              </w:tabs>
              <w:spacing w:after="0"/>
              <w:jc w:val="center"/>
              <w:rPr>
                <w:rFonts w:ascii="Times New Roman" w:hAnsi="Times New Roman"/>
                <w:b/>
                <w:bCs/>
                <w:sz w:val="24"/>
                <w:szCs w:val="24"/>
              </w:rPr>
            </w:pPr>
            <w:r w:rsidRPr="00D8620E">
              <w:rPr>
                <w:rFonts w:ascii="Times New Roman" w:hAnsi="Times New Roman"/>
                <w:b/>
                <w:bCs/>
                <w:sz w:val="24"/>
                <w:szCs w:val="24"/>
              </w:rPr>
              <w:t>100,0%</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F243A" w:rsidRPr="00D8620E" w:rsidRDefault="00AF243A" w:rsidP="00D8620E">
            <w:pPr>
              <w:tabs>
                <w:tab w:val="left" w:pos="270"/>
                <w:tab w:val="left" w:pos="1134"/>
              </w:tabs>
              <w:spacing w:after="0"/>
              <w:jc w:val="both"/>
              <w:rPr>
                <w:rFonts w:ascii="Times New Roman" w:hAnsi="Times New Roman"/>
                <w:sz w:val="24"/>
                <w:szCs w:val="24"/>
              </w:rPr>
            </w:pP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F243A" w:rsidRPr="00D8620E" w:rsidRDefault="00AF243A" w:rsidP="00D8620E">
            <w:pPr>
              <w:tabs>
                <w:tab w:val="left" w:pos="270"/>
                <w:tab w:val="left" w:pos="1134"/>
              </w:tabs>
              <w:spacing w:after="0"/>
              <w:jc w:val="both"/>
              <w:rPr>
                <w:rFonts w:ascii="Times New Roman" w:hAnsi="Times New Roman"/>
                <w:sz w:val="24"/>
                <w:szCs w:val="24"/>
              </w:rPr>
            </w:pPr>
          </w:p>
        </w:tc>
      </w:tr>
    </w:tbl>
    <w:p w:rsidR="00CE15F6" w:rsidRPr="00D8620E" w:rsidRDefault="00CE15F6" w:rsidP="00D8620E">
      <w:pPr>
        <w:pStyle w:val="ListParagraph"/>
        <w:numPr>
          <w:ilvl w:val="0"/>
          <w:numId w:val="23"/>
        </w:numPr>
        <w:tabs>
          <w:tab w:val="left" w:pos="270"/>
          <w:tab w:val="left" w:pos="1134"/>
        </w:tabs>
        <w:spacing w:before="120" w:after="120" w:line="300" w:lineRule="auto"/>
        <w:jc w:val="both"/>
        <w:rPr>
          <w:rFonts w:ascii="Times New Roman" w:hAnsi="Times New Roman"/>
          <w:sz w:val="24"/>
          <w:szCs w:val="24"/>
        </w:rPr>
      </w:pP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00EC3454"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đang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hành</w:t>
      </w:r>
      <w:proofErr w:type="spellEnd"/>
      <w:r w:rsidRPr="00D8620E">
        <w:rPr>
          <w:rFonts w:ascii="Times New Roman" w:hAnsi="Times New Roman"/>
          <w:sz w:val="24"/>
          <w:szCs w:val="24"/>
        </w:rPr>
        <w:t>;</w:t>
      </w:r>
      <w:r w:rsidR="00EC3454"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nhất</w:t>
      </w:r>
      <w:proofErr w:type="spellEnd"/>
      <w:r w:rsidRPr="00D8620E">
        <w:rPr>
          <w:rFonts w:ascii="Times New Roman" w:hAnsi="Times New Roman"/>
          <w:sz w:val="24"/>
          <w:szCs w:val="24"/>
        </w:rPr>
        <w:t>/</w:t>
      </w:r>
      <w:proofErr w:type="spellStart"/>
      <w:r w:rsidRPr="00D8620E">
        <w:rPr>
          <w:rFonts w:ascii="Times New Roman" w:hAnsi="Times New Roman"/>
          <w:sz w:val="24"/>
          <w:szCs w:val="24"/>
        </w:rPr>
        <w:t>thấp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00EC3454" w:rsidRPr="00D8620E">
        <w:rPr>
          <w:rFonts w:ascii="Times New Roman" w:hAnsi="Times New Roman"/>
          <w:sz w:val="24"/>
          <w:szCs w:val="24"/>
        </w:rPr>
        <w:t>:</w:t>
      </w: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985"/>
        <w:gridCol w:w="1710"/>
        <w:gridCol w:w="1710"/>
      </w:tblGrid>
      <w:tr w:rsidR="00903EF1" w:rsidRPr="00D8620E" w:rsidTr="00D8620E">
        <w:trPr>
          <w:trHeight w:val="330"/>
        </w:trPr>
        <w:tc>
          <w:tcPr>
            <w:tcW w:w="4225" w:type="dxa"/>
            <w:shd w:val="clear" w:color="auto" w:fill="8DB3E2" w:themeFill="text2" w:themeFillTint="66"/>
            <w:vAlign w:val="center"/>
            <w:hideMark/>
          </w:tcPr>
          <w:p w:rsidR="00903EF1" w:rsidRPr="00D8620E" w:rsidRDefault="00903EF1" w:rsidP="00D8620E">
            <w:pPr>
              <w:spacing w:before="120" w:after="120" w:line="240" w:lineRule="auto"/>
              <w:jc w:val="center"/>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p>
        </w:tc>
        <w:tc>
          <w:tcPr>
            <w:tcW w:w="1985" w:type="dxa"/>
            <w:shd w:val="clear" w:color="auto" w:fill="8DB3E2" w:themeFill="text2" w:themeFillTint="66"/>
            <w:vAlign w:val="center"/>
            <w:hideMark/>
          </w:tcPr>
          <w:p w:rsidR="00903EF1" w:rsidRPr="00D8620E" w:rsidRDefault="00903EF1" w:rsidP="00D8620E">
            <w:pPr>
              <w:spacing w:before="120" w:after="120" w:line="240" w:lineRule="auto"/>
              <w:jc w:val="center"/>
              <w:rPr>
                <w:rFonts w:ascii="Times New Roman" w:eastAsia="Times New Roman" w:hAnsi="Times New Roman"/>
                <w:b/>
                <w:bCs/>
                <w:color w:val="000000"/>
                <w:sz w:val="24"/>
                <w:szCs w:val="24"/>
              </w:rPr>
            </w:pPr>
            <w:r w:rsidRPr="00D8620E">
              <w:rPr>
                <w:rFonts w:ascii="Times New Roman" w:eastAsia="Times New Roman" w:hAnsi="Times New Roman"/>
                <w:b/>
                <w:bCs/>
                <w:color w:val="000000"/>
                <w:sz w:val="24"/>
                <w:szCs w:val="24"/>
              </w:rPr>
              <w:t>31/12/2019</w:t>
            </w:r>
          </w:p>
        </w:tc>
        <w:tc>
          <w:tcPr>
            <w:tcW w:w="1710" w:type="dxa"/>
            <w:shd w:val="clear" w:color="auto" w:fill="8DB3E2" w:themeFill="text2" w:themeFillTint="66"/>
            <w:vAlign w:val="center"/>
            <w:hideMark/>
          </w:tcPr>
          <w:p w:rsidR="00903EF1" w:rsidRPr="00D8620E" w:rsidRDefault="00903EF1" w:rsidP="00D8620E">
            <w:pPr>
              <w:spacing w:before="120" w:after="120" w:line="240" w:lineRule="auto"/>
              <w:jc w:val="center"/>
              <w:rPr>
                <w:rFonts w:ascii="Times New Roman" w:eastAsia="Times New Roman" w:hAnsi="Times New Roman"/>
                <w:b/>
                <w:bCs/>
                <w:color w:val="000000"/>
                <w:sz w:val="24"/>
                <w:szCs w:val="24"/>
              </w:rPr>
            </w:pPr>
            <w:r w:rsidRPr="00D8620E">
              <w:rPr>
                <w:rFonts w:ascii="Times New Roman" w:eastAsia="Times New Roman" w:hAnsi="Times New Roman"/>
                <w:b/>
                <w:bCs/>
                <w:color w:val="000000"/>
                <w:sz w:val="24"/>
                <w:szCs w:val="24"/>
              </w:rPr>
              <w:t>31/12/2018 (*)</w:t>
            </w:r>
          </w:p>
        </w:tc>
        <w:tc>
          <w:tcPr>
            <w:tcW w:w="1710" w:type="dxa"/>
            <w:shd w:val="clear" w:color="auto" w:fill="8DB3E2" w:themeFill="text2" w:themeFillTint="66"/>
            <w:vAlign w:val="center"/>
            <w:hideMark/>
          </w:tcPr>
          <w:p w:rsidR="00903EF1" w:rsidRPr="00D8620E" w:rsidRDefault="00903EF1" w:rsidP="00D8620E">
            <w:pPr>
              <w:spacing w:before="120" w:after="120" w:line="240" w:lineRule="auto"/>
              <w:jc w:val="center"/>
              <w:rPr>
                <w:rFonts w:ascii="Times New Roman" w:eastAsia="Times New Roman" w:hAnsi="Times New Roman"/>
                <w:b/>
                <w:bCs/>
                <w:color w:val="000000"/>
                <w:sz w:val="24"/>
                <w:szCs w:val="24"/>
              </w:rPr>
            </w:pPr>
            <w:r w:rsidRPr="00D8620E">
              <w:rPr>
                <w:rFonts w:ascii="Times New Roman" w:eastAsia="Times New Roman" w:hAnsi="Times New Roman"/>
                <w:b/>
                <w:bCs/>
                <w:color w:val="000000"/>
                <w:sz w:val="24"/>
                <w:szCs w:val="24"/>
              </w:rPr>
              <w:t>31/12/2017 (*)</w:t>
            </w:r>
          </w:p>
        </w:tc>
      </w:tr>
      <w:tr w:rsidR="00903EF1" w:rsidRPr="00D8620E" w:rsidTr="00D8620E">
        <w:trPr>
          <w:trHeight w:val="330"/>
        </w:trPr>
        <w:tc>
          <w:tcPr>
            <w:tcW w:w="4225" w:type="dxa"/>
            <w:shd w:val="clear" w:color="auto" w:fill="auto"/>
            <w:vAlign w:val="center"/>
            <w:hideMark/>
          </w:tcPr>
          <w:p w:rsidR="00903EF1" w:rsidRPr="00D8620E" w:rsidRDefault="00903EF1" w:rsidP="00903EF1">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của</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00BD7CEF" w:rsidRPr="00D8620E">
              <w:rPr>
                <w:rFonts w:ascii="Times New Roman" w:eastAsia="Times New Roman" w:hAnsi="Times New Roman"/>
                <w:color w:val="000000"/>
                <w:sz w:val="24"/>
                <w:szCs w:val="24"/>
              </w:rPr>
              <w:t xml:space="preserve"> (V</w:t>
            </w:r>
            <w:r w:rsidR="00D8620E">
              <w:rPr>
                <w:rFonts w:ascii="Times New Roman" w:eastAsia="Times New Roman" w:hAnsi="Times New Roman"/>
                <w:color w:val="000000"/>
                <w:sz w:val="24"/>
                <w:szCs w:val="24"/>
              </w:rPr>
              <w:t>ND</w:t>
            </w:r>
            <w:r w:rsidR="00BD7CEF" w:rsidRPr="00D8620E">
              <w:rPr>
                <w:rFonts w:ascii="Times New Roman" w:eastAsia="Times New Roman" w:hAnsi="Times New Roman"/>
                <w:color w:val="000000"/>
                <w:sz w:val="24"/>
                <w:szCs w:val="24"/>
              </w:rPr>
              <w:t>)</w:t>
            </w:r>
          </w:p>
        </w:tc>
        <w:tc>
          <w:tcPr>
            <w:tcW w:w="1985" w:type="dxa"/>
            <w:shd w:val="clear" w:color="auto" w:fill="auto"/>
            <w:vAlign w:val="center"/>
            <w:hideMark/>
          </w:tcPr>
          <w:p w:rsidR="00903EF1" w:rsidRPr="00D8620E" w:rsidRDefault="00903EF1">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80.870.153.926</w:t>
            </w:r>
            <w:r w:rsidR="00BA7E94" w:rsidRPr="00D8620E">
              <w:rPr>
                <w:rFonts w:ascii="Times New Roman" w:eastAsia="Times New Roman" w:hAnsi="Times New Roman"/>
                <w:color w:val="000000"/>
                <w:sz w:val="24"/>
                <w:szCs w:val="24"/>
              </w:rPr>
              <w:t xml:space="preserve"> </w:t>
            </w: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r>
      <w:tr w:rsidR="00903EF1" w:rsidRPr="00D8620E" w:rsidTr="00D8620E">
        <w:trPr>
          <w:trHeight w:val="645"/>
        </w:trPr>
        <w:tc>
          <w:tcPr>
            <w:tcW w:w="4225" w:type="dxa"/>
            <w:shd w:val="clear" w:color="auto" w:fill="auto"/>
            <w:vAlign w:val="center"/>
            <w:hideMark/>
          </w:tcPr>
          <w:p w:rsidR="00903EF1" w:rsidRPr="00D8620E" w:rsidRDefault="00903EF1" w:rsidP="00903EF1">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tại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ngày</w:t>
            </w:r>
            <w:proofErr w:type="spellEnd"/>
            <w:r w:rsidRPr="00D8620E">
              <w:rPr>
                <w:rFonts w:ascii="Times New Roman" w:eastAsia="Times New Roman" w:hAnsi="Times New Roman"/>
                <w:color w:val="000000"/>
                <w:sz w:val="24"/>
                <w:szCs w:val="24"/>
              </w:rPr>
              <w:t xml:space="preserve"> 31/12</w:t>
            </w:r>
            <w:r w:rsidR="00BA7E94" w:rsidRPr="00D8620E">
              <w:rPr>
                <w:rFonts w:ascii="Times New Roman" w:eastAsia="Times New Roman" w:hAnsi="Times New Roman"/>
                <w:color w:val="000000"/>
                <w:sz w:val="24"/>
                <w:szCs w:val="24"/>
              </w:rPr>
              <w:t>/2019</w:t>
            </w:r>
            <w:r w:rsidR="00BD7CEF" w:rsidRPr="00D8620E">
              <w:rPr>
                <w:rFonts w:ascii="Times New Roman" w:eastAsia="Times New Roman" w:hAnsi="Times New Roman"/>
                <w:color w:val="000000"/>
                <w:sz w:val="24"/>
                <w:szCs w:val="24"/>
              </w:rPr>
              <w:t xml:space="preserve"> (V</w:t>
            </w:r>
            <w:r w:rsidR="00D8620E">
              <w:rPr>
                <w:rFonts w:ascii="Times New Roman" w:eastAsia="Times New Roman" w:hAnsi="Times New Roman"/>
                <w:color w:val="000000"/>
                <w:sz w:val="24"/>
                <w:szCs w:val="24"/>
              </w:rPr>
              <w:t>ND</w:t>
            </w:r>
            <w:r w:rsidR="00BD7CEF" w:rsidRPr="00D8620E">
              <w:rPr>
                <w:rFonts w:ascii="Times New Roman" w:eastAsia="Times New Roman" w:hAnsi="Times New Roman"/>
                <w:color w:val="000000"/>
                <w:sz w:val="24"/>
                <w:szCs w:val="24"/>
              </w:rPr>
              <w:t>C</w:t>
            </w:r>
            <w:r w:rsidR="00D8620E">
              <w:rPr>
                <w:rFonts w:ascii="Times New Roman" w:eastAsia="Times New Roman" w:hAnsi="Times New Roman"/>
                <w:color w:val="000000"/>
                <w:sz w:val="24"/>
                <w:szCs w:val="24"/>
              </w:rPr>
              <w:t>CQ</w:t>
            </w:r>
            <w:r w:rsidR="00BD7CEF" w:rsidRPr="00D8620E">
              <w:rPr>
                <w:rFonts w:ascii="Times New Roman" w:eastAsia="Times New Roman" w:hAnsi="Times New Roman"/>
                <w:color w:val="000000"/>
                <w:sz w:val="24"/>
                <w:szCs w:val="24"/>
              </w:rPr>
              <w:t>)</w:t>
            </w:r>
          </w:p>
        </w:tc>
        <w:tc>
          <w:tcPr>
            <w:tcW w:w="1985" w:type="dxa"/>
            <w:shd w:val="clear" w:color="auto" w:fill="auto"/>
            <w:vAlign w:val="center"/>
            <w:hideMark/>
          </w:tcPr>
          <w:p w:rsidR="00903EF1" w:rsidRPr="00D8620E" w:rsidRDefault="00903EF1">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10.438,1</w:t>
            </w:r>
            <w:r w:rsidR="006F4FB4" w:rsidRPr="00D8620E">
              <w:rPr>
                <w:rFonts w:ascii="Times New Roman" w:eastAsia="Times New Roman" w:hAnsi="Times New Roman"/>
                <w:color w:val="000000"/>
                <w:sz w:val="24"/>
                <w:szCs w:val="24"/>
              </w:rPr>
              <w:t>1</w:t>
            </w:r>
            <w:r w:rsidR="00BA7E94" w:rsidRPr="00D8620E">
              <w:rPr>
                <w:rFonts w:ascii="Times New Roman" w:eastAsia="Times New Roman" w:hAnsi="Times New Roman"/>
                <w:color w:val="000000"/>
                <w:sz w:val="24"/>
                <w:szCs w:val="24"/>
              </w:rPr>
              <w:t xml:space="preserve"> </w:t>
            </w: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r>
      <w:tr w:rsidR="00903EF1" w:rsidRPr="00D8620E" w:rsidTr="00D8620E">
        <w:trPr>
          <w:trHeight w:val="645"/>
        </w:trPr>
        <w:tc>
          <w:tcPr>
            <w:tcW w:w="4225" w:type="dxa"/>
            <w:shd w:val="clear" w:color="auto" w:fill="auto"/>
            <w:vAlign w:val="center"/>
            <w:hideMark/>
          </w:tcPr>
          <w:p w:rsidR="00903EF1" w:rsidRPr="00D8620E" w:rsidRDefault="00903EF1" w:rsidP="00903EF1">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Số</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chứng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chỉ</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đang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hành</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tại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ngày</w:t>
            </w:r>
            <w:proofErr w:type="spellEnd"/>
            <w:r w:rsidRPr="00D8620E">
              <w:rPr>
                <w:rFonts w:ascii="Times New Roman" w:eastAsia="Times New Roman" w:hAnsi="Times New Roman"/>
                <w:color w:val="000000"/>
                <w:sz w:val="24"/>
                <w:szCs w:val="24"/>
              </w:rPr>
              <w:t xml:space="preserve"> 31/12</w:t>
            </w:r>
            <w:r w:rsidR="00BA7E94" w:rsidRPr="00D8620E">
              <w:rPr>
                <w:rFonts w:ascii="Times New Roman" w:eastAsia="Times New Roman" w:hAnsi="Times New Roman"/>
                <w:color w:val="000000"/>
                <w:sz w:val="24"/>
                <w:szCs w:val="24"/>
              </w:rPr>
              <w:t>/2019</w:t>
            </w:r>
            <w:r w:rsidR="00BD7CEF" w:rsidRPr="00D8620E">
              <w:rPr>
                <w:rFonts w:ascii="Times New Roman" w:eastAsia="Times New Roman" w:hAnsi="Times New Roman"/>
                <w:color w:val="000000"/>
                <w:sz w:val="24"/>
                <w:szCs w:val="24"/>
              </w:rPr>
              <w:t xml:space="preserve"> (CCQ)</w:t>
            </w:r>
          </w:p>
        </w:tc>
        <w:tc>
          <w:tcPr>
            <w:tcW w:w="1985" w:type="dxa"/>
            <w:shd w:val="clear" w:color="auto" w:fill="auto"/>
            <w:vAlign w:val="center"/>
            <w:hideMark/>
          </w:tcPr>
          <w:p w:rsidR="00903EF1" w:rsidRPr="00D8620E" w:rsidRDefault="00903EF1">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7.747.580,49</w:t>
            </w:r>
            <w:r w:rsidR="00BA7E94" w:rsidRPr="00D8620E">
              <w:rPr>
                <w:rFonts w:ascii="Times New Roman" w:eastAsia="Times New Roman" w:hAnsi="Times New Roman"/>
                <w:color w:val="000000"/>
                <w:sz w:val="24"/>
                <w:szCs w:val="24"/>
              </w:rPr>
              <w:t xml:space="preserve"> </w:t>
            </w: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r>
      <w:tr w:rsidR="00903EF1" w:rsidRPr="00D8620E" w:rsidTr="00D8620E">
        <w:trPr>
          <w:trHeight w:val="645"/>
        </w:trPr>
        <w:tc>
          <w:tcPr>
            <w:tcW w:w="4225" w:type="dxa"/>
            <w:shd w:val="clear" w:color="auto" w:fill="auto"/>
            <w:vAlign w:val="center"/>
            <w:hideMark/>
          </w:tcPr>
          <w:p w:rsidR="00903EF1" w:rsidRPr="00D8620E" w:rsidRDefault="00903EF1" w:rsidP="00903EF1">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cao</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00BD7CEF" w:rsidRPr="00D8620E">
              <w:rPr>
                <w:rFonts w:ascii="Times New Roman" w:eastAsia="Times New Roman" w:hAnsi="Times New Roman"/>
                <w:color w:val="000000"/>
                <w:sz w:val="24"/>
                <w:szCs w:val="24"/>
              </w:rPr>
              <w:t xml:space="preserve"> (V</w:t>
            </w:r>
            <w:r w:rsidR="00D8620E">
              <w:rPr>
                <w:rFonts w:ascii="Times New Roman" w:eastAsia="Times New Roman" w:hAnsi="Times New Roman"/>
                <w:color w:val="000000"/>
                <w:sz w:val="24"/>
                <w:szCs w:val="24"/>
              </w:rPr>
              <w:t>ND</w:t>
            </w:r>
            <w:r w:rsidR="00BD7CEF" w:rsidRPr="00D8620E">
              <w:rPr>
                <w:rFonts w:ascii="Times New Roman" w:eastAsia="Times New Roman" w:hAnsi="Times New Roman"/>
                <w:color w:val="000000"/>
                <w:sz w:val="24"/>
                <w:szCs w:val="24"/>
              </w:rPr>
              <w:t>/C</w:t>
            </w:r>
            <w:r w:rsidR="00D8620E">
              <w:rPr>
                <w:rFonts w:ascii="Times New Roman" w:eastAsia="Times New Roman" w:hAnsi="Times New Roman"/>
                <w:color w:val="000000"/>
                <w:sz w:val="24"/>
                <w:szCs w:val="24"/>
              </w:rPr>
              <w:t>CQ</w:t>
            </w:r>
            <w:r w:rsidR="00BD7CEF" w:rsidRPr="00D8620E">
              <w:rPr>
                <w:rFonts w:ascii="Times New Roman" w:eastAsia="Times New Roman" w:hAnsi="Times New Roman"/>
                <w:color w:val="000000"/>
                <w:sz w:val="24"/>
                <w:szCs w:val="24"/>
              </w:rPr>
              <w:t>)</w:t>
            </w:r>
          </w:p>
        </w:tc>
        <w:tc>
          <w:tcPr>
            <w:tcW w:w="1985" w:type="dxa"/>
            <w:shd w:val="clear" w:color="auto" w:fill="auto"/>
            <w:vAlign w:val="center"/>
            <w:hideMark/>
          </w:tcPr>
          <w:p w:rsidR="00903EF1" w:rsidRPr="00D8620E" w:rsidRDefault="00903EF1">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11.121,6</w:t>
            </w:r>
            <w:r w:rsidR="006F4FB4" w:rsidRPr="00D8620E">
              <w:rPr>
                <w:rFonts w:ascii="Times New Roman" w:eastAsia="Times New Roman" w:hAnsi="Times New Roman"/>
                <w:color w:val="000000"/>
                <w:sz w:val="24"/>
                <w:szCs w:val="24"/>
              </w:rPr>
              <w:t>6</w:t>
            </w:r>
            <w:r w:rsidR="00BA7E94" w:rsidRPr="00D8620E">
              <w:rPr>
                <w:rFonts w:ascii="Times New Roman" w:eastAsia="Times New Roman" w:hAnsi="Times New Roman"/>
                <w:color w:val="000000"/>
                <w:sz w:val="24"/>
                <w:szCs w:val="24"/>
              </w:rPr>
              <w:t xml:space="preserve"> </w:t>
            </w: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c>
          <w:tcPr>
            <w:tcW w:w="1710" w:type="dxa"/>
            <w:shd w:val="clear" w:color="auto" w:fill="auto"/>
            <w:vAlign w:val="center"/>
          </w:tcPr>
          <w:p w:rsidR="00903EF1" w:rsidRPr="00D8620E" w:rsidRDefault="00903EF1">
            <w:pPr>
              <w:spacing w:after="0" w:line="240" w:lineRule="auto"/>
              <w:jc w:val="right"/>
              <w:rPr>
                <w:rFonts w:ascii="Times New Roman" w:eastAsia="Times New Roman" w:hAnsi="Times New Roman"/>
                <w:color w:val="000000"/>
                <w:sz w:val="24"/>
                <w:szCs w:val="24"/>
              </w:rPr>
            </w:pPr>
          </w:p>
        </w:tc>
      </w:tr>
      <w:tr w:rsidR="00903EF1" w:rsidRPr="00D8620E" w:rsidTr="00D8620E">
        <w:trPr>
          <w:trHeight w:val="645"/>
        </w:trPr>
        <w:tc>
          <w:tcPr>
            <w:tcW w:w="4225" w:type="dxa"/>
            <w:shd w:val="clear" w:color="auto" w:fill="auto"/>
            <w:vAlign w:val="center"/>
            <w:hideMark/>
          </w:tcPr>
          <w:p w:rsidR="00903EF1" w:rsidRPr="00D8620E" w:rsidRDefault="00903EF1" w:rsidP="00D8620E">
            <w:pPr>
              <w:spacing w:before="120" w:after="12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thấp</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00BD7CEF" w:rsidRPr="00D8620E">
              <w:rPr>
                <w:rFonts w:ascii="Times New Roman" w:eastAsia="Times New Roman" w:hAnsi="Times New Roman"/>
                <w:color w:val="000000"/>
                <w:sz w:val="24"/>
                <w:szCs w:val="24"/>
              </w:rPr>
              <w:t xml:space="preserve"> (</w:t>
            </w:r>
            <w:r w:rsidR="00EC050A" w:rsidRPr="00D8620E">
              <w:rPr>
                <w:rFonts w:ascii="Times New Roman" w:eastAsia="Times New Roman" w:hAnsi="Times New Roman"/>
                <w:color w:val="000000"/>
                <w:sz w:val="24"/>
                <w:szCs w:val="24"/>
              </w:rPr>
              <w:t>VN</w:t>
            </w:r>
            <w:r w:rsidR="00D8620E">
              <w:rPr>
                <w:rFonts w:ascii="Times New Roman" w:eastAsia="Times New Roman" w:hAnsi="Times New Roman"/>
                <w:color w:val="000000"/>
                <w:sz w:val="24"/>
                <w:szCs w:val="24"/>
              </w:rPr>
              <w:t>D</w:t>
            </w:r>
            <w:r w:rsidR="00BD7CEF" w:rsidRPr="00D8620E">
              <w:rPr>
                <w:rFonts w:ascii="Times New Roman" w:eastAsia="Times New Roman" w:hAnsi="Times New Roman"/>
                <w:color w:val="000000"/>
                <w:sz w:val="24"/>
                <w:szCs w:val="24"/>
              </w:rPr>
              <w:t>/</w:t>
            </w:r>
            <w:r w:rsidR="00EC050A" w:rsidRPr="00D8620E">
              <w:rPr>
                <w:rFonts w:ascii="Times New Roman" w:eastAsia="Times New Roman" w:hAnsi="Times New Roman"/>
                <w:color w:val="000000"/>
                <w:sz w:val="24"/>
                <w:szCs w:val="24"/>
              </w:rPr>
              <w:t>CCQ</w:t>
            </w:r>
            <w:r w:rsidR="00BD7CEF" w:rsidRPr="00D8620E">
              <w:rPr>
                <w:rFonts w:ascii="Times New Roman" w:eastAsia="Times New Roman" w:hAnsi="Times New Roman"/>
                <w:color w:val="000000"/>
                <w:sz w:val="24"/>
                <w:szCs w:val="24"/>
              </w:rPr>
              <w:t>)</w:t>
            </w:r>
          </w:p>
        </w:tc>
        <w:tc>
          <w:tcPr>
            <w:tcW w:w="1985" w:type="dxa"/>
            <w:shd w:val="clear" w:color="auto" w:fill="auto"/>
            <w:vAlign w:val="center"/>
            <w:hideMark/>
          </w:tcPr>
          <w:p w:rsidR="00903EF1" w:rsidRPr="00D8620E" w:rsidRDefault="00903EF1" w:rsidP="00D8620E">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9.991,</w:t>
            </w:r>
            <w:r w:rsidR="006F4FB4" w:rsidRPr="00D8620E">
              <w:rPr>
                <w:rFonts w:ascii="Times New Roman" w:eastAsia="Times New Roman" w:hAnsi="Times New Roman"/>
                <w:color w:val="000000"/>
                <w:sz w:val="24"/>
                <w:szCs w:val="24"/>
              </w:rPr>
              <w:t>19</w:t>
            </w:r>
            <w:r w:rsidRPr="00D8620E">
              <w:rPr>
                <w:rFonts w:ascii="Times New Roman" w:eastAsia="Times New Roman" w:hAnsi="Times New Roman"/>
                <w:color w:val="000000"/>
                <w:sz w:val="24"/>
                <w:szCs w:val="24"/>
              </w:rPr>
              <w:t xml:space="preserve"> </w:t>
            </w:r>
          </w:p>
        </w:tc>
        <w:tc>
          <w:tcPr>
            <w:tcW w:w="1710" w:type="dxa"/>
            <w:shd w:val="clear" w:color="auto" w:fill="auto"/>
            <w:vAlign w:val="center"/>
          </w:tcPr>
          <w:p w:rsidR="00903EF1" w:rsidRPr="00D8620E" w:rsidRDefault="00903EF1" w:rsidP="00D8620E">
            <w:pPr>
              <w:spacing w:before="120" w:after="120" w:line="240" w:lineRule="auto"/>
              <w:jc w:val="right"/>
              <w:rPr>
                <w:rFonts w:ascii="Times New Roman" w:eastAsia="Times New Roman" w:hAnsi="Times New Roman"/>
                <w:color w:val="000000"/>
                <w:sz w:val="24"/>
                <w:szCs w:val="24"/>
              </w:rPr>
            </w:pPr>
          </w:p>
        </w:tc>
        <w:tc>
          <w:tcPr>
            <w:tcW w:w="1710" w:type="dxa"/>
            <w:shd w:val="clear" w:color="auto" w:fill="auto"/>
            <w:vAlign w:val="center"/>
          </w:tcPr>
          <w:p w:rsidR="00903EF1" w:rsidRPr="00D8620E" w:rsidRDefault="00903EF1" w:rsidP="00D8620E">
            <w:pPr>
              <w:spacing w:before="120" w:after="120" w:line="240" w:lineRule="auto"/>
              <w:jc w:val="right"/>
              <w:rPr>
                <w:rFonts w:ascii="Times New Roman" w:eastAsia="Times New Roman" w:hAnsi="Times New Roman"/>
                <w:color w:val="000000"/>
                <w:sz w:val="24"/>
                <w:szCs w:val="24"/>
              </w:rPr>
            </w:pPr>
          </w:p>
        </w:tc>
      </w:tr>
    </w:tbl>
    <w:p w:rsidR="00903EF1" w:rsidRPr="00D8620E" w:rsidRDefault="00CE15F6" w:rsidP="00D8620E">
      <w:pPr>
        <w:pStyle w:val="ListParagraph"/>
        <w:numPr>
          <w:ilvl w:val="0"/>
          <w:numId w:val="23"/>
        </w:numPr>
        <w:tabs>
          <w:tab w:val="left" w:pos="270"/>
          <w:tab w:val="left" w:pos="1134"/>
        </w:tabs>
        <w:spacing w:before="120" w:after="120" w:line="300" w:lineRule="auto"/>
        <w:jc w:val="both"/>
        <w:rPr>
          <w:rFonts w:ascii="Times New Roman" w:hAnsi="Times New Roman"/>
          <w:sz w:val="24"/>
          <w:szCs w:val="24"/>
        </w:rPr>
      </w:pPr>
      <w:proofErr w:type="spellStart"/>
      <w:r w:rsidRPr="00D8620E">
        <w:rPr>
          <w:rFonts w:ascii="Times New Roman" w:hAnsi="Times New Roman"/>
          <w:sz w:val="24"/>
          <w:szCs w:val="24"/>
        </w:rPr>
        <w:t>Tổng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009B55A4" w:rsidRPr="00D8620E">
        <w:rPr>
          <w:rFonts w:ascii="Times New Roman" w:hAnsi="Times New Roman"/>
          <w:sz w:val="24"/>
          <w:szCs w:val="24"/>
        </w:rPr>
        <w:t>:</w:t>
      </w:r>
      <w:r w:rsidRPr="00D8620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57"/>
        <w:gridCol w:w="1728"/>
        <w:gridCol w:w="1701"/>
      </w:tblGrid>
      <w:tr w:rsidR="003B6725" w:rsidRPr="00D8620E" w:rsidTr="00D8620E">
        <w:trPr>
          <w:trHeight w:val="315"/>
        </w:trPr>
        <w:tc>
          <w:tcPr>
            <w:tcW w:w="4253" w:type="dxa"/>
            <w:shd w:val="clear" w:color="auto" w:fill="8DB3E2" w:themeFill="text2" w:themeFillTint="66"/>
            <w:vAlign w:val="center"/>
          </w:tcPr>
          <w:p w:rsidR="003B6725" w:rsidRPr="00D8620E" w:rsidRDefault="003B6725" w:rsidP="00D8620E">
            <w:pPr>
              <w:spacing w:before="120" w:after="12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r w:rsidR="00BA7E94" w:rsidRPr="00D8620E">
              <w:rPr>
                <w:rFonts w:ascii="Times New Roman" w:eastAsia="Times New Roman" w:hAnsi="Times New Roman"/>
                <w:b/>
                <w:bCs/>
                <w:color w:val="000000"/>
                <w:sz w:val="24"/>
                <w:szCs w:val="24"/>
              </w:rPr>
              <w:t xml:space="preserve"> (</w:t>
            </w:r>
            <w:proofErr w:type="spellStart"/>
            <w:r w:rsidR="00BA7E94" w:rsidRPr="00D8620E">
              <w:rPr>
                <w:rFonts w:ascii="Times New Roman" w:eastAsia="Times New Roman" w:hAnsi="Times New Roman"/>
                <w:b/>
                <w:bCs/>
                <w:color w:val="000000"/>
                <w:sz w:val="24"/>
                <w:szCs w:val="24"/>
              </w:rPr>
              <w:t>Đơn</w:t>
            </w:r>
            <w:proofErr w:type="spellEnd"/>
            <w:r w:rsidR="00BA7E94" w:rsidRPr="00D8620E">
              <w:rPr>
                <w:rFonts w:ascii="Times New Roman" w:eastAsia="Times New Roman" w:hAnsi="Times New Roman"/>
                <w:b/>
                <w:bCs/>
                <w:color w:val="000000"/>
                <w:sz w:val="24"/>
                <w:szCs w:val="24"/>
              </w:rPr>
              <w:t xml:space="preserve"> </w:t>
            </w:r>
            <w:proofErr w:type="spellStart"/>
            <w:r w:rsidR="00BA7E94" w:rsidRPr="00D8620E">
              <w:rPr>
                <w:rFonts w:ascii="Times New Roman" w:eastAsia="Times New Roman" w:hAnsi="Times New Roman"/>
                <w:b/>
                <w:bCs/>
                <w:color w:val="000000"/>
                <w:sz w:val="24"/>
                <w:szCs w:val="24"/>
              </w:rPr>
              <w:t>Vị</w:t>
            </w:r>
            <w:proofErr w:type="spellEnd"/>
            <w:r w:rsidR="00BA7E94" w:rsidRPr="00D8620E">
              <w:rPr>
                <w:rFonts w:ascii="Times New Roman" w:eastAsia="Times New Roman" w:hAnsi="Times New Roman"/>
                <w:b/>
                <w:bCs/>
                <w:color w:val="000000"/>
                <w:sz w:val="24"/>
                <w:szCs w:val="24"/>
              </w:rPr>
              <w:t xml:space="preserve"> </w:t>
            </w:r>
            <w:proofErr w:type="spellStart"/>
            <w:r w:rsidR="00BA7E94" w:rsidRPr="00D8620E">
              <w:rPr>
                <w:rFonts w:ascii="Times New Roman" w:eastAsia="Times New Roman" w:hAnsi="Times New Roman"/>
                <w:b/>
                <w:bCs/>
                <w:color w:val="000000"/>
                <w:sz w:val="24"/>
                <w:szCs w:val="24"/>
              </w:rPr>
              <w:t>tính</w:t>
            </w:r>
            <w:proofErr w:type="spellEnd"/>
            <w:r w:rsidR="00BA7E94" w:rsidRPr="00D8620E">
              <w:rPr>
                <w:rFonts w:ascii="Times New Roman" w:eastAsia="Times New Roman" w:hAnsi="Times New Roman"/>
                <w:b/>
                <w:bCs/>
                <w:color w:val="000000"/>
                <w:sz w:val="24"/>
                <w:szCs w:val="24"/>
              </w:rPr>
              <w:t xml:space="preserve">: </w:t>
            </w:r>
            <w:r w:rsidR="00D8620E">
              <w:rPr>
                <w:rFonts w:ascii="Times New Roman" w:eastAsia="Times New Roman" w:hAnsi="Times New Roman"/>
                <w:b/>
                <w:bCs/>
                <w:color w:val="000000"/>
                <w:sz w:val="24"/>
                <w:szCs w:val="24"/>
              </w:rPr>
              <w:t>VND</w:t>
            </w:r>
            <w:r w:rsidR="00BA7E94" w:rsidRPr="00D8620E">
              <w:rPr>
                <w:rFonts w:ascii="Times New Roman" w:eastAsia="Times New Roman" w:hAnsi="Times New Roman"/>
                <w:b/>
                <w:bCs/>
                <w:color w:val="000000"/>
                <w:sz w:val="24"/>
                <w:szCs w:val="24"/>
              </w:rPr>
              <w:t>)</w:t>
            </w:r>
          </w:p>
        </w:tc>
        <w:tc>
          <w:tcPr>
            <w:tcW w:w="1957" w:type="dxa"/>
            <w:shd w:val="clear" w:color="auto" w:fill="8DB3E2" w:themeFill="text2" w:themeFillTint="66"/>
            <w:vAlign w:val="center"/>
          </w:tcPr>
          <w:p w:rsidR="003B6725" w:rsidRPr="00D8620E" w:rsidRDefault="003B6725" w:rsidP="00D8620E">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31/12/2019</w:t>
            </w:r>
          </w:p>
        </w:tc>
        <w:tc>
          <w:tcPr>
            <w:tcW w:w="1728" w:type="dxa"/>
            <w:shd w:val="clear" w:color="auto" w:fill="8DB3E2" w:themeFill="text2" w:themeFillTint="66"/>
            <w:vAlign w:val="center"/>
          </w:tcPr>
          <w:p w:rsidR="003B6725" w:rsidRPr="00D8620E" w:rsidRDefault="003B6725" w:rsidP="00D8620E">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31/12/2018 (*)</w:t>
            </w:r>
          </w:p>
        </w:tc>
        <w:tc>
          <w:tcPr>
            <w:tcW w:w="1701" w:type="dxa"/>
            <w:shd w:val="clear" w:color="auto" w:fill="8DB3E2" w:themeFill="text2" w:themeFillTint="66"/>
            <w:vAlign w:val="center"/>
          </w:tcPr>
          <w:p w:rsidR="003B6725" w:rsidRPr="00D8620E" w:rsidRDefault="003B6725" w:rsidP="00D8620E">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31/12/2017 (*)</w:t>
            </w:r>
          </w:p>
        </w:tc>
      </w:tr>
      <w:tr w:rsidR="003B6725" w:rsidRPr="00D8620E" w:rsidTr="00D8620E">
        <w:trPr>
          <w:trHeight w:val="315"/>
        </w:trPr>
        <w:tc>
          <w:tcPr>
            <w:tcW w:w="4253" w:type="dxa"/>
            <w:shd w:val="clear" w:color="auto" w:fill="auto"/>
            <w:vAlign w:val="center"/>
            <w:hideMark/>
          </w:tcPr>
          <w:p w:rsidR="003B6725" w:rsidRPr="00D8620E" w:rsidRDefault="003B6725" w:rsidP="003B6725">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thu</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nhập</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6.022.530.924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C503F3">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Cổ</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tức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chia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1.619.714.574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D8620E">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Tiền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hideMark/>
          </w:tcPr>
          <w:p w:rsidR="003B6725" w:rsidRPr="00D8620E" w:rsidRDefault="003B6725" w:rsidP="00D8620E">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   </w:t>
            </w:r>
          </w:p>
        </w:tc>
        <w:tc>
          <w:tcPr>
            <w:tcW w:w="1728" w:type="dxa"/>
            <w:shd w:val="clear" w:color="auto" w:fill="auto"/>
            <w:vAlign w:val="center"/>
            <w:hideMark/>
          </w:tcPr>
          <w:p w:rsidR="003B6725" w:rsidRPr="00D8620E" w:rsidRDefault="003B6725" w:rsidP="00D8620E">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C503F3">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lastRenderedPageBreak/>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nhập</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41.607.350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C503F3">
            <w:pPr>
              <w:spacing w:after="0" w:line="240" w:lineRule="auto"/>
              <w:ind w:firstLineChars="72" w:firstLine="173"/>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lỗ</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bán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554.906.734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915"/>
        </w:trPr>
        <w:tc>
          <w:tcPr>
            <w:tcW w:w="4253" w:type="dxa"/>
            <w:shd w:val="clear" w:color="auto" w:fill="auto"/>
            <w:vAlign w:val="center"/>
            <w:hideMark/>
          </w:tcPr>
          <w:p w:rsidR="003B6725" w:rsidRPr="00D8620E" w:rsidRDefault="003B6725" w:rsidP="00C503F3">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Chênh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lệch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tăng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giảm</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đánh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giá</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lại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chưa</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thực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hiện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tại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ngày</w:t>
            </w:r>
            <w:proofErr w:type="spellEnd"/>
            <w:r w:rsidRPr="00D8620E">
              <w:rPr>
                <w:rFonts w:ascii="Times New Roman" w:eastAsia="Times New Roman" w:hAnsi="Times New Roman"/>
                <w:i/>
                <w:iCs/>
                <w:color w:val="000000"/>
                <w:sz w:val="24"/>
                <w:szCs w:val="24"/>
              </w:rPr>
              <w:t xml:space="preserve"> 31/12</w:t>
            </w:r>
            <w:r w:rsidR="00BA7E94" w:rsidRPr="00D8620E">
              <w:rPr>
                <w:rFonts w:ascii="Times New Roman" w:eastAsia="Times New Roman" w:hAnsi="Times New Roman"/>
                <w:i/>
                <w:iCs/>
                <w:color w:val="000000"/>
                <w:sz w:val="24"/>
                <w:szCs w:val="24"/>
              </w:rPr>
              <w:t>/2019</w:t>
            </w:r>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3.806.302.266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3B6725">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chi </w:t>
            </w:r>
            <w:proofErr w:type="spellStart"/>
            <w:r w:rsidRPr="00D8620E">
              <w:rPr>
                <w:rFonts w:ascii="Times New Roman" w:eastAsia="Times New Roman" w:hAnsi="Times New Roman"/>
                <w:b/>
                <w:bCs/>
                <w:color w:val="000000"/>
                <w:sz w:val="24"/>
                <w:szCs w:val="24"/>
              </w:rPr>
              <w:t>phí</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2.788.965.720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3B6725" w:rsidRPr="00D8620E" w:rsidTr="00D8620E">
        <w:trPr>
          <w:trHeight w:val="315"/>
        </w:trPr>
        <w:tc>
          <w:tcPr>
            <w:tcW w:w="4253" w:type="dxa"/>
            <w:shd w:val="clear" w:color="auto" w:fill="auto"/>
            <w:vAlign w:val="center"/>
            <w:hideMark/>
          </w:tcPr>
          <w:p w:rsidR="003B6725" w:rsidRPr="00D8620E" w:rsidRDefault="003B6725" w:rsidP="003B6725">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lợi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nhuận</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tại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ngày</w:t>
            </w:r>
            <w:proofErr w:type="spellEnd"/>
            <w:r w:rsidRPr="00D8620E">
              <w:rPr>
                <w:rFonts w:ascii="Times New Roman" w:eastAsia="Times New Roman" w:hAnsi="Times New Roman"/>
                <w:b/>
                <w:bCs/>
                <w:color w:val="000000"/>
                <w:sz w:val="24"/>
                <w:szCs w:val="24"/>
              </w:rPr>
              <w:t xml:space="preserve"> 31/12</w:t>
            </w:r>
            <w:r w:rsidR="00BA7E94" w:rsidRPr="00D8620E">
              <w:rPr>
                <w:rFonts w:ascii="Times New Roman" w:eastAsia="Times New Roman" w:hAnsi="Times New Roman"/>
                <w:b/>
                <w:bCs/>
                <w:color w:val="000000"/>
                <w:sz w:val="24"/>
                <w:szCs w:val="24"/>
              </w:rPr>
              <w:t>/2019</w:t>
            </w:r>
          </w:p>
        </w:tc>
        <w:tc>
          <w:tcPr>
            <w:tcW w:w="1957"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3.233.565.204 </w:t>
            </w:r>
          </w:p>
        </w:tc>
        <w:tc>
          <w:tcPr>
            <w:tcW w:w="1728"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c>
          <w:tcPr>
            <w:tcW w:w="1701" w:type="dxa"/>
            <w:shd w:val="clear" w:color="auto" w:fill="auto"/>
            <w:vAlign w:val="center"/>
            <w:hideMark/>
          </w:tcPr>
          <w:p w:rsidR="003B6725" w:rsidRPr="00D8620E" w:rsidRDefault="003B6725" w:rsidP="003B6725">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bl>
    <w:p w:rsidR="00E250EA" w:rsidRPr="00D8620E" w:rsidRDefault="00E250EA" w:rsidP="00E250EA">
      <w:pPr>
        <w:tabs>
          <w:tab w:val="left" w:pos="270"/>
          <w:tab w:val="left" w:pos="1134"/>
        </w:tabs>
        <w:spacing w:after="0" w:line="300" w:lineRule="auto"/>
        <w:jc w:val="both"/>
        <w:rPr>
          <w:rFonts w:ascii="Times New Roman" w:hAnsi="Times New Roman"/>
          <w:sz w:val="24"/>
          <w:szCs w:val="24"/>
        </w:rPr>
      </w:pPr>
    </w:p>
    <w:p w:rsidR="00E250EA" w:rsidRPr="00D8620E" w:rsidRDefault="00CE15F6" w:rsidP="00E250EA">
      <w:pPr>
        <w:pStyle w:val="ListParagraph"/>
        <w:numPr>
          <w:ilvl w:val="0"/>
          <w:numId w:val="23"/>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gộp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00AF243A" w:rsidRPr="00D8620E">
        <w:rPr>
          <w:rFonts w:ascii="Times New Roman" w:hAnsi="Times New Roman"/>
          <w:sz w:val="24"/>
          <w:szCs w:val="24"/>
        </w:rPr>
        <w:t>:</w:t>
      </w:r>
      <w:r w:rsidR="00E250EA" w:rsidRPr="00D8620E">
        <w:rPr>
          <w:rFonts w:ascii="Times New Roman" w:hAnsi="Times New Roman"/>
          <w:sz w:val="24"/>
          <w:szCs w:val="24"/>
        </w:rPr>
        <w:t xml:space="preserve"> </w:t>
      </w:r>
      <w:proofErr w:type="spellStart"/>
      <w:r w:rsidR="00570567" w:rsidRPr="00D8620E">
        <w:rPr>
          <w:rFonts w:ascii="Times New Roman" w:hAnsi="Times New Roman"/>
          <w:sz w:val="24"/>
          <w:szCs w:val="24"/>
        </w:rPr>
        <w:t>Quỹ</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không</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thực</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hiện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phân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phối</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lợi</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nhuận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trong</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kỳ</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báo</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cáo</w:t>
      </w:r>
      <w:proofErr w:type="spellEnd"/>
    </w:p>
    <w:p w:rsidR="00CE15F6" w:rsidRPr="00D8620E" w:rsidRDefault="00CE15F6" w:rsidP="00E250EA">
      <w:pPr>
        <w:pStyle w:val="ListParagraph"/>
        <w:numPr>
          <w:ilvl w:val="0"/>
          <w:numId w:val="23"/>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Tỷ</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00E250EA" w:rsidRPr="00D8620E">
        <w:rPr>
          <w:rFonts w:ascii="Times New Roman" w:hAnsi="Times New Roman"/>
          <w:sz w:val="24"/>
          <w:szCs w:val="24"/>
        </w:rPr>
        <w:t>:</w:t>
      </w:r>
      <w:r w:rsidR="00BD7CEF" w:rsidRPr="00D8620E">
        <w:rPr>
          <w:rFonts w:ascii="Times New Roman" w:hAnsi="Times New Roman"/>
          <w:sz w:val="24"/>
          <w:szCs w:val="24"/>
        </w:rPr>
        <w:t xml:space="preserve"> </w:t>
      </w:r>
    </w:p>
    <w:p w:rsidR="00EE16D8" w:rsidRPr="00D8620E" w:rsidRDefault="00EE16D8" w:rsidP="00E250EA">
      <w:pPr>
        <w:pStyle w:val="ListParagraph"/>
        <w:numPr>
          <w:ilvl w:val="0"/>
          <w:numId w:val="24"/>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eastAsia="Times New Roman" w:hAnsi="Times New Roman"/>
          <w:color w:val="000000"/>
          <w:sz w:val="24"/>
          <w:szCs w:val="24"/>
        </w:rPr>
        <w:t>Tỷ</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lệ</w:t>
      </w:r>
      <w:proofErr w:type="spellEnd"/>
      <w:r w:rsidRPr="00D8620E">
        <w:rPr>
          <w:rFonts w:ascii="Times New Roman" w:eastAsia="Times New Roman" w:hAnsi="Times New Roman"/>
          <w:color w:val="000000"/>
          <w:sz w:val="24"/>
          <w:szCs w:val="24"/>
        </w:rPr>
        <w:t xml:space="preserve"> chi </w:t>
      </w:r>
      <w:proofErr w:type="spellStart"/>
      <w:r w:rsidRPr="00D8620E">
        <w:rPr>
          <w:rFonts w:ascii="Times New Roman" w:eastAsia="Times New Roman" w:hAnsi="Times New Roman"/>
          <w:color w:val="000000"/>
          <w:sz w:val="24"/>
          <w:szCs w:val="24"/>
        </w:rPr>
        <w:t>phí</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hoạt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trung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bình</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2019:</w:t>
      </w:r>
      <w:r w:rsidRPr="00D8620E">
        <w:rPr>
          <w:rFonts w:ascii="Times New Roman" w:eastAsiaTheme="minorHAnsi" w:hAnsi="Times New Roman"/>
          <w:color w:val="000000"/>
          <w:sz w:val="24"/>
          <w:szCs w:val="24"/>
        </w:rPr>
        <w:t xml:space="preserve"> 3,47%</w:t>
      </w:r>
    </w:p>
    <w:p w:rsidR="0035046B" w:rsidRPr="00D8620E" w:rsidRDefault="00CE15F6" w:rsidP="00E250EA">
      <w:pPr>
        <w:pStyle w:val="ListParagraph"/>
        <w:numPr>
          <w:ilvl w:val="0"/>
          <w:numId w:val="25"/>
        </w:numPr>
        <w:tabs>
          <w:tab w:val="left" w:pos="270"/>
          <w:tab w:val="left" w:pos="1134"/>
        </w:tabs>
        <w:spacing w:after="0" w:line="300" w:lineRule="auto"/>
        <w:jc w:val="both"/>
        <w:rPr>
          <w:rFonts w:ascii="Times New Roman" w:hAnsi="Times New Roman"/>
          <w:sz w:val="24"/>
          <w:szCs w:val="24"/>
          <w:lang w:val="nl-NL"/>
        </w:rPr>
      </w:pP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00E250EA" w:rsidRPr="00D8620E">
        <w:rPr>
          <w:rFonts w:ascii="Times New Roman" w:hAnsi="Times New Roman"/>
          <w:sz w:val="24"/>
          <w:szCs w:val="24"/>
        </w:rPr>
        <w:t>:</w:t>
      </w:r>
      <w:r w:rsidR="00BD7CEF" w:rsidRPr="00D8620E">
        <w:rPr>
          <w:rFonts w:ascii="Times New Roman" w:hAnsi="Times New Roman"/>
          <w:sz w:val="24"/>
          <w:szCs w:val="24"/>
        </w:rPr>
        <w:t xml:space="preserve"> </w:t>
      </w:r>
    </w:p>
    <w:p w:rsidR="00EE16D8" w:rsidRPr="00D8620E" w:rsidRDefault="00EE16D8" w:rsidP="00E250EA">
      <w:pPr>
        <w:pStyle w:val="ListParagraph"/>
        <w:numPr>
          <w:ilvl w:val="0"/>
          <w:numId w:val="24"/>
        </w:numPr>
        <w:tabs>
          <w:tab w:val="left" w:pos="270"/>
          <w:tab w:val="left" w:pos="1134"/>
        </w:tabs>
        <w:spacing w:after="0" w:line="300" w:lineRule="auto"/>
        <w:jc w:val="both"/>
        <w:rPr>
          <w:rFonts w:ascii="Times New Roman" w:hAnsi="Times New Roman"/>
          <w:sz w:val="24"/>
          <w:szCs w:val="24"/>
          <w:lang w:val="nl-NL"/>
        </w:rPr>
      </w:pPr>
      <w:proofErr w:type="spellStart"/>
      <w:r w:rsidRPr="00D8620E">
        <w:rPr>
          <w:rFonts w:ascii="Times New Roman" w:eastAsiaTheme="minorHAnsi" w:hAnsi="Times New Roman"/>
          <w:color w:val="000000"/>
          <w:sz w:val="24"/>
          <w:szCs w:val="24"/>
        </w:rPr>
        <w:t>Tốc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độ</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vòng</w:t>
      </w:r>
      <w:proofErr w:type="spellEnd"/>
      <w:r w:rsidRPr="00D8620E">
        <w:rPr>
          <w:rFonts w:ascii="Times New Roman" w:eastAsiaTheme="minorHAnsi" w:hAnsi="Times New Roman"/>
          <w:color w:val="000000"/>
          <w:sz w:val="24"/>
          <w:szCs w:val="24"/>
        </w:rPr>
        <w:t xml:space="preserve"> quay </w:t>
      </w:r>
      <w:proofErr w:type="spellStart"/>
      <w:r w:rsidRPr="00D8620E">
        <w:rPr>
          <w:rFonts w:ascii="Times New Roman" w:eastAsiaTheme="minorHAnsi" w:hAnsi="Times New Roman"/>
          <w:color w:val="000000"/>
          <w:sz w:val="24"/>
          <w:szCs w:val="24"/>
        </w:rPr>
        <w:t>danh</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mục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của</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quỹ</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t</w:t>
      </w:r>
      <w:r w:rsidR="00E250EA" w:rsidRPr="00D8620E">
        <w:rPr>
          <w:rFonts w:ascii="Times New Roman" w:eastAsiaTheme="minorHAnsi" w:hAnsi="Times New Roman"/>
          <w:color w:val="000000"/>
          <w:sz w:val="24"/>
          <w:szCs w:val="24"/>
        </w:rPr>
        <w:t>rong</w:t>
      </w:r>
      <w:proofErr w:type="spellEnd"/>
      <w:r w:rsidR="00E250EA" w:rsidRPr="00D8620E">
        <w:rPr>
          <w:rFonts w:ascii="Times New Roman" w:eastAsiaTheme="minorHAnsi" w:hAnsi="Times New Roman"/>
          <w:color w:val="000000"/>
          <w:sz w:val="24"/>
          <w:szCs w:val="24"/>
        </w:rPr>
        <w:t xml:space="preserve"> </w:t>
      </w:r>
      <w:proofErr w:type="spellStart"/>
      <w:r w:rsidR="00E250EA" w:rsidRPr="00D8620E">
        <w:rPr>
          <w:rFonts w:ascii="Times New Roman" w:eastAsiaTheme="minorHAnsi" w:hAnsi="Times New Roman"/>
          <w:color w:val="000000"/>
          <w:sz w:val="24"/>
          <w:szCs w:val="24"/>
        </w:rPr>
        <w:t>năm</w:t>
      </w:r>
      <w:proofErr w:type="spellEnd"/>
      <w:r w:rsidR="00E250EA" w:rsidRPr="00D8620E">
        <w:rPr>
          <w:rFonts w:ascii="Times New Roman" w:eastAsiaTheme="minorHAnsi" w:hAnsi="Times New Roman"/>
          <w:color w:val="000000"/>
          <w:sz w:val="24"/>
          <w:szCs w:val="24"/>
        </w:rPr>
        <w:t xml:space="preserve"> 2019</w:t>
      </w:r>
      <w:r w:rsidRPr="00D8620E">
        <w:rPr>
          <w:rFonts w:ascii="Times New Roman" w:eastAsiaTheme="minorHAnsi" w:hAnsi="Times New Roman"/>
          <w:color w:val="000000"/>
          <w:sz w:val="24"/>
          <w:szCs w:val="24"/>
        </w:rPr>
        <w:t>: 192,25%</w:t>
      </w:r>
    </w:p>
    <w:p w:rsidR="00EC3454" w:rsidRPr="00D8620E" w:rsidRDefault="00EC3454" w:rsidP="00E250EA">
      <w:pPr>
        <w:rPr>
          <w:rFonts w:ascii="Times New Roman" w:hAnsi="Times New Roman"/>
          <w:i/>
          <w:iCs/>
          <w:sz w:val="24"/>
          <w:szCs w:val="24"/>
        </w:rPr>
      </w:pPr>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Quỹ</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mới</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đi</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vào</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hoạt</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động</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từ</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ngày</w:t>
      </w:r>
      <w:proofErr w:type="spellEnd"/>
      <w:r w:rsidRPr="00D8620E">
        <w:rPr>
          <w:rFonts w:ascii="Times New Roman" w:hAnsi="Times New Roman"/>
          <w:i/>
          <w:iCs/>
          <w:sz w:val="24"/>
          <w:szCs w:val="24"/>
        </w:rPr>
        <w:t xml:space="preserve"> 03/01/2019 </w:t>
      </w:r>
      <w:proofErr w:type="spellStart"/>
      <w:r w:rsidRPr="00D8620E">
        <w:rPr>
          <w:rFonts w:ascii="Times New Roman" w:hAnsi="Times New Roman"/>
          <w:i/>
          <w:iCs/>
          <w:sz w:val="24"/>
          <w:szCs w:val="24"/>
        </w:rPr>
        <w:t>nên</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không</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đủ</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dữ</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liệu</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để</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báo</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cáo</w:t>
      </w:r>
      <w:proofErr w:type="spellEnd"/>
      <w:r w:rsidR="00AF243A" w:rsidRPr="00D8620E">
        <w:rPr>
          <w:rFonts w:ascii="Times New Roman" w:hAnsi="Times New Roman"/>
          <w:i/>
          <w:iCs/>
          <w:sz w:val="24"/>
          <w:szCs w:val="24"/>
        </w:rPr>
        <w:t xml:space="preserve"> </w:t>
      </w:r>
      <w:proofErr w:type="spellStart"/>
      <w:r w:rsidR="00AF243A" w:rsidRPr="00D8620E">
        <w:rPr>
          <w:rFonts w:ascii="Times New Roman" w:hAnsi="Times New Roman"/>
          <w:i/>
          <w:iCs/>
          <w:sz w:val="24"/>
          <w:szCs w:val="24"/>
        </w:rPr>
        <w:t>cho</w:t>
      </w:r>
      <w:proofErr w:type="spellEnd"/>
      <w:r w:rsidR="00AF243A" w:rsidRPr="00D8620E">
        <w:rPr>
          <w:rFonts w:ascii="Times New Roman" w:hAnsi="Times New Roman"/>
          <w:i/>
          <w:iCs/>
          <w:sz w:val="24"/>
          <w:szCs w:val="24"/>
        </w:rPr>
        <w:t xml:space="preserve"> </w:t>
      </w:r>
      <w:proofErr w:type="spellStart"/>
      <w:r w:rsidR="00AF243A" w:rsidRPr="00D8620E">
        <w:rPr>
          <w:rFonts w:ascii="Times New Roman" w:hAnsi="Times New Roman"/>
          <w:i/>
          <w:iCs/>
          <w:sz w:val="24"/>
          <w:szCs w:val="24"/>
        </w:rPr>
        <w:t>năm</w:t>
      </w:r>
      <w:proofErr w:type="spellEnd"/>
      <w:r w:rsidR="00AF243A" w:rsidRPr="00D8620E">
        <w:rPr>
          <w:rFonts w:ascii="Times New Roman" w:hAnsi="Times New Roman"/>
          <w:i/>
          <w:iCs/>
          <w:sz w:val="24"/>
          <w:szCs w:val="24"/>
        </w:rPr>
        <w:t xml:space="preserve"> 2017, 2018</w:t>
      </w:r>
      <w:r w:rsidR="00E250EA" w:rsidRPr="00D8620E">
        <w:rPr>
          <w:rFonts w:ascii="Times New Roman" w:hAnsi="Times New Roman"/>
          <w:i/>
          <w:iCs/>
          <w:sz w:val="24"/>
          <w:szCs w:val="24"/>
        </w:rPr>
        <w:t>.</w:t>
      </w:r>
    </w:p>
    <w:p w:rsidR="000A2248" w:rsidRPr="00D8620E"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4352B7"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
    <w:tbl>
      <w:tblPr>
        <w:tblW w:w="5147" w:type="pct"/>
        <w:tblLook w:val="04A0" w:firstRow="1" w:lastRow="0" w:firstColumn="1" w:lastColumn="0" w:noHBand="0" w:noVBand="1"/>
      </w:tblPr>
      <w:tblGrid>
        <w:gridCol w:w="4114"/>
        <w:gridCol w:w="2141"/>
        <w:gridCol w:w="1661"/>
        <w:gridCol w:w="1709"/>
      </w:tblGrid>
      <w:tr w:rsidR="00E737D0" w:rsidRPr="00D8620E" w:rsidTr="00D8620E">
        <w:trPr>
          <w:trHeight w:val="719"/>
        </w:trPr>
        <w:tc>
          <w:tcPr>
            <w:tcW w:w="2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Tổng</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bình</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quân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đã</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86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chưa</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8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737D0" w:rsidRPr="00D8620E" w:rsidRDefault="00BD7CEF"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lũy</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kế</w:t>
            </w:r>
            <w:proofErr w:type="spellEnd"/>
            <w:r w:rsidRPr="00D8620E">
              <w:rPr>
                <w:rFonts w:ascii="Times New Roman" w:hAnsi="Times New Roman"/>
                <w:b/>
                <w:bCs/>
                <w:color w:val="000000"/>
              </w:rPr>
              <w:t xml:space="preserve"> </w:t>
            </w:r>
            <w:r w:rsidR="00E737D0" w:rsidRPr="00D8620E">
              <w:rPr>
                <w:rFonts w:ascii="Times New Roman" w:hAnsi="Times New Roman"/>
                <w:b/>
                <w:bCs/>
                <w:color w:val="000000"/>
              </w:rPr>
              <w:t>(VND)</w:t>
            </w:r>
          </w:p>
        </w:tc>
      </w:tr>
      <w:tr w:rsidR="00E737D0" w:rsidRPr="00D8620E" w:rsidTr="00D8620E">
        <w:trPr>
          <w:trHeight w:val="792"/>
        </w:trPr>
        <w:tc>
          <w:tcPr>
            <w:tcW w:w="2137"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737D0" w:rsidRPr="00D8620E" w:rsidRDefault="00E737D0" w:rsidP="00E737D0">
            <w:pPr>
              <w:jc w:val="both"/>
              <w:rPr>
                <w:rFonts w:ascii="Times New Roman" w:hAnsi="Times New Roman"/>
                <w:color w:val="000000"/>
                <w:sz w:val="24"/>
                <w:szCs w:val="24"/>
              </w:rPr>
            </w:pPr>
            <w:r w:rsidRPr="00D8620E">
              <w:rPr>
                <w:rFonts w:ascii="Times New Roman" w:hAnsi="Times New Roman"/>
                <w:color w:val="000000"/>
                <w:sz w:val="24"/>
                <w:szCs w:val="24"/>
              </w:rPr>
              <w:t>(</w:t>
            </w:r>
            <w:proofErr w:type="spellStart"/>
            <w:r w:rsidRPr="00D8620E">
              <w:rPr>
                <w:rFonts w:ascii="Times New Roman" w:hAnsi="Times New Roman"/>
                <w:color w:val="000000"/>
                <w:sz w:val="24"/>
                <w:szCs w:val="24"/>
              </w:rPr>
              <w:t>i</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trong</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thời</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hạn</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từ</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ngày</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thành</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lập</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Quỹ</w:t>
            </w:r>
            <w:proofErr w:type="spellEnd"/>
            <w:r w:rsidRPr="00D8620E">
              <w:rPr>
                <w:rFonts w:ascii="Times New Roman" w:hAnsi="Times New Roman"/>
                <w:color w:val="000000"/>
                <w:sz w:val="24"/>
                <w:szCs w:val="24"/>
              </w:rPr>
              <w:t xml:space="preserve"> 03/01/2019 </w:t>
            </w:r>
            <w:proofErr w:type="spellStart"/>
            <w:r w:rsidRPr="00D8620E">
              <w:rPr>
                <w:rFonts w:ascii="Times New Roman" w:hAnsi="Times New Roman"/>
                <w:color w:val="000000"/>
                <w:sz w:val="24"/>
                <w:szCs w:val="24"/>
              </w:rPr>
              <w:t>đến</w:t>
            </w:r>
            <w:proofErr w:type="spellEnd"/>
            <w:r w:rsidRPr="00D8620E">
              <w:rPr>
                <w:rFonts w:ascii="Times New Roman" w:hAnsi="Times New Roman"/>
                <w:color w:val="000000"/>
                <w:sz w:val="24"/>
                <w:szCs w:val="24"/>
              </w:rPr>
              <w:t xml:space="preserve"> </w:t>
            </w:r>
            <w:proofErr w:type="spellStart"/>
            <w:r w:rsidRPr="00D8620E">
              <w:rPr>
                <w:rFonts w:ascii="Times New Roman" w:hAnsi="Times New Roman"/>
                <w:color w:val="000000"/>
                <w:sz w:val="24"/>
                <w:szCs w:val="24"/>
              </w:rPr>
              <w:t>ngày</w:t>
            </w:r>
            <w:proofErr w:type="spellEnd"/>
            <w:r w:rsidRPr="00D8620E">
              <w:rPr>
                <w:rFonts w:ascii="Times New Roman" w:hAnsi="Times New Roman"/>
                <w:color w:val="000000"/>
                <w:sz w:val="24"/>
                <w:szCs w:val="24"/>
              </w:rPr>
              <w:t xml:space="preserve"> 31/12/2019</w:t>
            </w:r>
          </w:p>
        </w:tc>
        <w:tc>
          <w:tcPr>
            <w:tcW w:w="1112" w:type="pct"/>
            <w:tcBorders>
              <w:top w:val="single" w:sz="4" w:space="0" w:color="auto"/>
              <w:left w:val="nil"/>
              <w:bottom w:val="single" w:sz="8" w:space="0" w:color="auto"/>
              <w:right w:val="single" w:sz="8" w:space="0" w:color="auto"/>
            </w:tcBorders>
            <w:shd w:val="clear" w:color="auto" w:fill="auto"/>
            <w:vAlign w:val="center"/>
            <w:hideMark/>
          </w:tcPr>
          <w:p w:rsidR="00E737D0" w:rsidRPr="00D8620E" w:rsidRDefault="00E737D0" w:rsidP="00C503F3">
            <w:pPr>
              <w:jc w:val="right"/>
              <w:rPr>
                <w:rFonts w:ascii="Times New Roman" w:hAnsi="Times New Roman"/>
                <w:color w:val="000000"/>
                <w:sz w:val="24"/>
                <w:szCs w:val="24"/>
              </w:rPr>
            </w:pPr>
            <w:r w:rsidRPr="00D8620E">
              <w:rPr>
                <w:rFonts w:ascii="Times New Roman" w:hAnsi="Times New Roman"/>
                <w:color w:val="000000"/>
                <w:sz w:val="24"/>
                <w:szCs w:val="24"/>
              </w:rPr>
              <w:t>(572.737.062)</w:t>
            </w:r>
          </w:p>
        </w:tc>
        <w:tc>
          <w:tcPr>
            <w:tcW w:w="863" w:type="pct"/>
            <w:tcBorders>
              <w:top w:val="single" w:sz="4" w:space="0" w:color="auto"/>
              <w:left w:val="nil"/>
              <w:bottom w:val="single" w:sz="8" w:space="0" w:color="auto"/>
              <w:right w:val="single" w:sz="8" w:space="0" w:color="auto"/>
            </w:tcBorders>
            <w:shd w:val="clear" w:color="auto" w:fill="auto"/>
            <w:vAlign w:val="center"/>
            <w:hideMark/>
          </w:tcPr>
          <w:p w:rsidR="00E737D0" w:rsidRPr="00D8620E" w:rsidRDefault="00E737D0" w:rsidP="00C503F3">
            <w:pPr>
              <w:jc w:val="right"/>
              <w:rPr>
                <w:rFonts w:ascii="Times New Roman" w:hAnsi="Times New Roman"/>
                <w:color w:val="000000"/>
                <w:sz w:val="24"/>
                <w:szCs w:val="24"/>
              </w:rPr>
            </w:pPr>
            <w:r w:rsidRPr="00D8620E">
              <w:rPr>
                <w:rFonts w:ascii="Times New Roman" w:hAnsi="Times New Roman"/>
                <w:color w:val="000000"/>
                <w:sz w:val="24"/>
                <w:szCs w:val="24"/>
              </w:rPr>
              <w:t xml:space="preserve">3.806.302.266 </w:t>
            </w:r>
          </w:p>
        </w:tc>
        <w:tc>
          <w:tcPr>
            <w:tcW w:w="888" w:type="pct"/>
            <w:tcBorders>
              <w:top w:val="single" w:sz="4" w:space="0" w:color="auto"/>
              <w:left w:val="nil"/>
              <w:bottom w:val="single" w:sz="8" w:space="0" w:color="auto"/>
              <w:right w:val="single" w:sz="8" w:space="0" w:color="auto"/>
            </w:tcBorders>
            <w:shd w:val="clear" w:color="auto" w:fill="auto"/>
            <w:vAlign w:val="center"/>
            <w:hideMark/>
          </w:tcPr>
          <w:p w:rsidR="00E737D0" w:rsidRPr="00D8620E" w:rsidRDefault="00E737D0" w:rsidP="00C503F3">
            <w:pPr>
              <w:jc w:val="right"/>
              <w:rPr>
                <w:rFonts w:ascii="Times New Roman" w:hAnsi="Times New Roman"/>
                <w:color w:val="000000"/>
                <w:sz w:val="24"/>
                <w:szCs w:val="24"/>
              </w:rPr>
            </w:pPr>
            <w:r w:rsidRPr="00D8620E">
              <w:rPr>
                <w:rFonts w:ascii="Times New Roman" w:hAnsi="Times New Roman"/>
                <w:color w:val="000000"/>
                <w:sz w:val="24"/>
                <w:szCs w:val="24"/>
              </w:rPr>
              <w:t xml:space="preserve">3.233.565.204 </w:t>
            </w:r>
          </w:p>
        </w:tc>
      </w:tr>
    </w:tbl>
    <w:p w:rsidR="00100534" w:rsidRPr="00D8620E"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so </w:t>
      </w:r>
      <w:proofErr w:type="spellStart"/>
      <w:r w:rsidRPr="00D8620E">
        <w:rPr>
          <w:rFonts w:ascii="Times New Roman" w:hAnsi="Times New Roman"/>
          <w:sz w:val="24"/>
          <w:szCs w:val="24"/>
        </w:rPr>
        <w:t>sánh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w:t>
      </w:r>
      <w:r w:rsidR="00063E75" w:rsidRPr="00D8620E">
        <w:rPr>
          <w:rFonts w:ascii="Times New Roman" w:hAnsi="Times New Roman"/>
          <w:sz w:val="24"/>
          <w:szCs w:val="24"/>
        </w:rPr>
        <w:t xml:space="preserve"> </w:t>
      </w:r>
      <w:proofErr w:type="spellStart"/>
      <w:r w:rsidR="00063E75" w:rsidRPr="00D8620E">
        <w:rPr>
          <w:rFonts w:ascii="Times New Roman" w:hAnsi="Times New Roman"/>
          <w:i/>
          <w:sz w:val="24"/>
          <w:szCs w:val="24"/>
        </w:rPr>
        <w:t>Không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áp</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dụng</w:t>
      </w:r>
      <w:proofErr w:type="spellEnd"/>
    </w:p>
    <w:p w:rsidR="00100534" w:rsidRPr="00D8620E" w:rsidRDefault="00CD76F9" w:rsidP="004352B7">
      <w:pPr>
        <w:pStyle w:val="ListParagraph"/>
        <w:numPr>
          <w:ilvl w:val="0"/>
          <w:numId w:val="3"/>
        </w:numPr>
        <w:tabs>
          <w:tab w:val="left" w:pos="180"/>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sz w:val="24"/>
          <w:szCs w:val="24"/>
        </w:rPr>
        <w:t>K</w:t>
      </w:r>
      <w:r w:rsidR="00100534" w:rsidRPr="00D8620E">
        <w:rPr>
          <w:rFonts w:ascii="Times New Roman" w:hAnsi="Times New Roman"/>
          <w:sz w:val="24"/>
          <w:szCs w:val="24"/>
        </w:rPr>
        <w:t>huyến</w:t>
      </w:r>
      <w:proofErr w:type="spellEnd"/>
      <w:r w:rsidR="00100534" w:rsidRPr="00D8620E">
        <w:rPr>
          <w:rFonts w:ascii="Times New Roman" w:hAnsi="Times New Roman"/>
          <w:sz w:val="24"/>
          <w:szCs w:val="24"/>
        </w:rPr>
        <w:t xml:space="preserve"> </w:t>
      </w:r>
      <w:proofErr w:type="spellStart"/>
      <w:r w:rsidR="00100534" w:rsidRPr="00D8620E">
        <w:rPr>
          <w:rFonts w:ascii="Times New Roman" w:hAnsi="Times New Roman"/>
          <w:sz w:val="24"/>
          <w:szCs w:val="24"/>
        </w:rPr>
        <w:t>cáo</w:t>
      </w:r>
      <w:proofErr w:type="spellEnd"/>
      <w:r w:rsidRPr="00D8620E">
        <w:rPr>
          <w:rFonts w:ascii="Times New Roman" w:hAnsi="Times New Roman"/>
          <w:sz w:val="24"/>
          <w:szCs w:val="24"/>
        </w:rPr>
        <w:t>:</w:t>
      </w:r>
      <w:r w:rsidR="00BC38CC" w:rsidRPr="00D8620E">
        <w:rPr>
          <w:rFonts w:ascii="Times New Roman" w:hAnsi="Times New Roman"/>
          <w:sz w:val="24"/>
          <w:szCs w:val="24"/>
        </w:rPr>
        <w:t xml:space="preserve"> T</w:t>
      </w:r>
      <w:r w:rsidR="00100534" w:rsidRPr="00D8620E">
        <w:rPr>
          <w:rFonts w:ascii="Times New Roman" w:hAnsi="Times New Roman"/>
          <w:sz w:val="24"/>
          <w:szCs w:val="24"/>
          <w:lang w:val="pt-BR"/>
        </w:rPr>
        <w:t xml:space="preserve">hông tin về kết quả hoạt động của </w:t>
      </w:r>
      <w:r w:rsidR="00BC38CC" w:rsidRPr="00D8620E">
        <w:rPr>
          <w:rFonts w:ascii="Times New Roman" w:hAnsi="Times New Roman"/>
          <w:sz w:val="24"/>
          <w:szCs w:val="24"/>
          <w:lang w:val="pt-BR"/>
        </w:rPr>
        <w:t>Q</w:t>
      </w:r>
      <w:r w:rsidR="00100534" w:rsidRPr="00D8620E">
        <w:rPr>
          <w:rFonts w:ascii="Times New Roman" w:hAnsi="Times New Roman"/>
          <w:sz w:val="24"/>
          <w:szCs w:val="24"/>
          <w:lang w:val="pt-BR"/>
        </w:rPr>
        <w:t xml:space="preserve">uỹ chỉ mang tính tham khảo và không có nghĩa là việc đầu tư sẽ bảo đảm khả năng sinh lời cho </w:t>
      </w:r>
      <w:r w:rsidR="00BC38CC" w:rsidRPr="00D8620E">
        <w:rPr>
          <w:rFonts w:ascii="Times New Roman" w:hAnsi="Times New Roman"/>
          <w:sz w:val="24"/>
          <w:szCs w:val="24"/>
          <w:lang w:val="pt-BR"/>
        </w:rPr>
        <w:t>N</w:t>
      </w:r>
      <w:r w:rsidR="00100534" w:rsidRPr="00D8620E">
        <w:rPr>
          <w:rFonts w:ascii="Times New Roman" w:hAnsi="Times New Roman"/>
          <w:sz w:val="24"/>
          <w:szCs w:val="24"/>
          <w:lang w:val="pt-BR"/>
        </w:rPr>
        <w:t>hà đầu tư</w:t>
      </w:r>
      <w:r w:rsidR="00BC38CC" w:rsidRPr="00D8620E">
        <w:rPr>
          <w:rFonts w:ascii="Times New Roman" w:hAnsi="Times New Roman"/>
          <w:sz w:val="24"/>
          <w:szCs w:val="24"/>
          <w:lang w:val="pt-BR"/>
        </w:rPr>
        <w:t xml:space="preserve"> trong tương lai.</w:t>
      </w:r>
    </w:p>
    <w:p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Báo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hoạt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động</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quản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lý</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tài</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sản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của</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Công</w:t>
      </w:r>
      <w:proofErr w:type="spellEnd"/>
      <w:r w:rsidRPr="00D8620E">
        <w:rPr>
          <w:rFonts w:ascii="Times New Roman" w:hAnsi="Times New Roman"/>
          <w:b/>
          <w:sz w:val="24"/>
          <w:szCs w:val="24"/>
        </w:rPr>
        <w:t xml:space="preserve"> ty </w:t>
      </w:r>
      <w:proofErr w:type="spellStart"/>
      <w:r w:rsidR="00BC38CC" w:rsidRPr="00D8620E">
        <w:rPr>
          <w:rFonts w:ascii="Times New Roman" w:hAnsi="Times New Roman"/>
          <w:b/>
          <w:sz w:val="24"/>
          <w:szCs w:val="24"/>
        </w:rPr>
        <w:t>Q</w:t>
      </w:r>
      <w:r w:rsidRPr="00D8620E">
        <w:rPr>
          <w:rFonts w:ascii="Times New Roman" w:hAnsi="Times New Roman"/>
          <w:b/>
          <w:sz w:val="24"/>
          <w:szCs w:val="24"/>
        </w:rPr>
        <w:t>uản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lý</w:t>
      </w:r>
      <w:proofErr w:type="spellEnd"/>
      <w:r w:rsidRPr="00D8620E">
        <w:rPr>
          <w:rFonts w:ascii="Times New Roman" w:hAnsi="Times New Roman"/>
          <w:b/>
          <w:sz w:val="24"/>
          <w:szCs w:val="24"/>
        </w:rPr>
        <w:t xml:space="preserve"> </w:t>
      </w:r>
      <w:proofErr w:type="spellStart"/>
      <w:r w:rsidR="00BC38CC" w:rsidRPr="00D8620E">
        <w:rPr>
          <w:rFonts w:ascii="Times New Roman" w:hAnsi="Times New Roman"/>
          <w:b/>
          <w:sz w:val="24"/>
          <w:szCs w:val="24"/>
        </w:rPr>
        <w:t>Q</w:t>
      </w:r>
      <w:r w:rsidRPr="00D8620E">
        <w:rPr>
          <w:rFonts w:ascii="Times New Roman" w:hAnsi="Times New Roman"/>
          <w:b/>
          <w:sz w:val="24"/>
          <w:szCs w:val="24"/>
        </w:rPr>
        <w:t>uỹ</w:t>
      </w:r>
      <w:proofErr w:type="spellEnd"/>
    </w:p>
    <w:p w:rsidR="00100534" w:rsidRPr="00D8620E"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00AE6D17" w:rsidRPr="00D8620E">
        <w:rPr>
          <w:rFonts w:ascii="Times New Roman" w:hAnsi="Times New Roman"/>
          <w:sz w:val="24"/>
          <w:szCs w:val="24"/>
        </w:rPr>
        <w:t>Q</w:t>
      </w:r>
      <w:r w:rsidRPr="00D8620E">
        <w:rPr>
          <w:rFonts w:ascii="Times New Roman" w:hAnsi="Times New Roman"/>
          <w:sz w:val="24"/>
          <w:szCs w:val="24"/>
        </w:rPr>
        <w:t>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00AE6D17" w:rsidRPr="00D8620E">
        <w:rPr>
          <w:rFonts w:ascii="Times New Roman" w:hAnsi="Times New Roman"/>
          <w:sz w:val="24"/>
          <w:szCs w:val="24"/>
        </w:rPr>
        <w:t>Q</w:t>
      </w:r>
      <w:r w:rsidRPr="00D8620E">
        <w:rPr>
          <w:rFonts w:ascii="Times New Roman" w:hAnsi="Times New Roman"/>
          <w:sz w:val="24"/>
          <w:szCs w:val="24"/>
        </w:rPr>
        <w:t>uỹ</w:t>
      </w:r>
      <w:proofErr w:type="spellEnd"/>
      <w:r w:rsidR="003A0280" w:rsidRPr="00D8620E">
        <w:rPr>
          <w:rFonts w:ascii="Times New Roman" w:hAnsi="Times New Roman"/>
          <w:sz w:val="24"/>
          <w:szCs w:val="24"/>
        </w:rPr>
        <w:t xml:space="preserve">: </w:t>
      </w:r>
      <w:proofErr w:type="spellStart"/>
      <w:r w:rsidR="00063E75" w:rsidRPr="00D8620E">
        <w:rPr>
          <w:rFonts w:ascii="Times New Roman" w:hAnsi="Times New Roman"/>
          <w:i/>
          <w:sz w:val="24"/>
          <w:szCs w:val="24"/>
        </w:rPr>
        <w:t>Quỹ</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không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có</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thay</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đổi</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Công</w:t>
      </w:r>
      <w:proofErr w:type="spellEnd"/>
      <w:r w:rsidR="00063E75" w:rsidRPr="00D8620E">
        <w:rPr>
          <w:rFonts w:ascii="Times New Roman" w:hAnsi="Times New Roman"/>
          <w:i/>
          <w:sz w:val="24"/>
          <w:szCs w:val="24"/>
        </w:rPr>
        <w:t xml:space="preserve"> ty </w:t>
      </w:r>
      <w:proofErr w:type="spellStart"/>
      <w:r w:rsidR="00BC38CC" w:rsidRPr="00D8620E">
        <w:rPr>
          <w:rFonts w:ascii="Times New Roman" w:hAnsi="Times New Roman"/>
          <w:i/>
          <w:sz w:val="24"/>
          <w:szCs w:val="24"/>
        </w:rPr>
        <w:t>Q</w:t>
      </w:r>
      <w:r w:rsidR="00063E75" w:rsidRPr="00D8620E">
        <w:rPr>
          <w:rFonts w:ascii="Times New Roman" w:hAnsi="Times New Roman"/>
          <w:i/>
          <w:sz w:val="24"/>
          <w:szCs w:val="24"/>
        </w:rPr>
        <w:t>uản</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lý</w:t>
      </w:r>
      <w:proofErr w:type="spellEnd"/>
      <w:r w:rsidR="00063E75" w:rsidRPr="00D8620E">
        <w:rPr>
          <w:rFonts w:ascii="Times New Roman" w:hAnsi="Times New Roman"/>
          <w:i/>
          <w:sz w:val="24"/>
          <w:szCs w:val="24"/>
        </w:rPr>
        <w:t xml:space="preserve"> </w:t>
      </w:r>
      <w:proofErr w:type="spellStart"/>
      <w:r w:rsidR="00BC38CC" w:rsidRPr="00D8620E">
        <w:rPr>
          <w:rFonts w:ascii="Times New Roman" w:hAnsi="Times New Roman"/>
          <w:i/>
          <w:sz w:val="24"/>
          <w:szCs w:val="24"/>
        </w:rPr>
        <w:t>Q</w:t>
      </w:r>
      <w:r w:rsidR="00063E75" w:rsidRPr="00D8620E">
        <w:rPr>
          <w:rFonts w:ascii="Times New Roman" w:hAnsi="Times New Roman"/>
          <w:i/>
          <w:sz w:val="24"/>
          <w:szCs w:val="24"/>
        </w:rPr>
        <w:t>uỹ</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trong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kỳ</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báo</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cáo</w:t>
      </w:r>
      <w:proofErr w:type="spellEnd"/>
      <w:r w:rsidR="00D8620E">
        <w:rPr>
          <w:rFonts w:ascii="Times New Roman" w:hAnsi="Times New Roman"/>
          <w:i/>
          <w:sz w:val="24"/>
          <w:szCs w:val="24"/>
        </w:rPr>
        <w:t>.</w:t>
      </w:r>
    </w:p>
    <w:p w:rsidR="00100534" w:rsidRPr="00D8620E"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i/>
          <w:sz w:val="24"/>
          <w:szCs w:val="24"/>
        </w:rPr>
      </w:pP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00BC38CC" w:rsidRPr="00D8620E">
        <w:rPr>
          <w:rFonts w:ascii="Times New Roman" w:hAnsi="Times New Roman"/>
          <w:sz w:val="24"/>
          <w:szCs w:val="24"/>
        </w:rPr>
        <w:t>:</w:t>
      </w:r>
    </w:p>
    <w:p w:rsidR="00540C7D" w:rsidRPr="00D8620E" w:rsidRDefault="00540C7D" w:rsidP="00540C7D">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pt-BR"/>
        </w:rPr>
      </w:pPr>
      <w:r w:rsidRPr="00D8620E">
        <w:rPr>
          <w:rFonts w:ascii="Times New Roman" w:hAnsi="Times New Roman"/>
          <w:sz w:val="24"/>
          <w:szCs w:val="24"/>
          <w:lang w:val="pt-BR"/>
        </w:rPr>
        <w:t>Quỹ bắt đầu giải ngân ngày 10/01/2019 và hoàn tất giải ngân đến cuối tháng 01 năm 2019</w:t>
      </w:r>
      <w:r w:rsidR="00055B7B" w:rsidRPr="00D8620E">
        <w:rPr>
          <w:rFonts w:ascii="Times New Roman" w:hAnsi="Times New Roman"/>
          <w:sz w:val="24"/>
          <w:szCs w:val="24"/>
          <w:lang w:val="vi-VN"/>
        </w:rPr>
        <w:t xml:space="preserve">. </w:t>
      </w:r>
      <w:r w:rsidRPr="00D8620E">
        <w:rPr>
          <w:rFonts w:ascii="Times New Roman" w:hAnsi="Times New Roman"/>
          <w:sz w:val="24"/>
          <w:szCs w:val="24"/>
          <w:lang w:val="pt-BR"/>
        </w:rPr>
        <w:t xml:space="preserve">Tính từ thời điểm bắt đầu giải ngân đến </w:t>
      </w:r>
      <w:r w:rsidR="00055B7B" w:rsidRPr="00D8620E">
        <w:rPr>
          <w:rFonts w:ascii="Times New Roman" w:hAnsi="Times New Roman"/>
          <w:sz w:val="24"/>
          <w:szCs w:val="24"/>
          <w:lang w:val="vi-VN"/>
        </w:rPr>
        <w:t>31/12/2019</w:t>
      </w:r>
      <w:r w:rsidRPr="00D8620E">
        <w:rPr>
          <w:rFonts w:ascii="Times New Roman" w:hAnsi="Times New Roman"/>
          <w:sz w:val="24"/>
          <w:szCs w:val="24"/>
          <w:lang w:val="pt-BR"/>
        </w:rPr>
        <w:t xml:space="preserve">, Quỹ đạt được tỷ suất sinh lời </w:t>
      </w:r>
      <w:r w:rsidR="00055B7B" w:rsidRPr="00D8620E">
        <w:rPr>
          <w:rFonts w:ascii="Times New Roman" w:hAnsi="Times New Roman"/>
          <w:sz w:val="24"/>
          <w:szCs w:val="24"/>
          <w:lang w:val="vi-VN"/>
        </w:rPr>
        <w:t>4,38</w:t>
      </w:r>
      <w:r w:rsidRPr="00D8620E">
        <w:rPr>
          <w:rFonts w:ascii="Times New Roman" w:hAnsi="Times New Roman"/>
          <w:sz w:val="24"/>
          <w:szCs w:val="24"/>
          <w:lang w:val="pt-BR"/>
        </w:rPr>
        <w:t xml:space="preserve">%, thấp hơn </w:t>
      </w:r>
      <w:r w:rsidR="00055B7B" w:rsidRPr="00D8620E">
        <w:rPr>
          <w:rFonts w:ascii="Times New Roman" w:hAnsi="Times New Roman"/>
          <w:sz w:val="24"/>
          <w:szCs w:val="24"/>
          <w:lang w:val="vi-VN"/>
        </w:rPr>
        <w:lastRenderedPageBreak/>
        <w:t>2</w:t>
      </w:r>
      <w:r w:rsidRPr="00D8620E">
        <w:rPr>
          <w:rFonts w:ascii="Times New Roman" w:hAnsi="Times New Roman"/>
          <w:sz w:val="24"/>
          <w:szCs w:val="24"/>
          <w:lang w:val="pt-BR"/>
        </w:rPr>
        <w:t>,60% so với chỉ số VN-index, và cao hơn 1,</w:t>
      </w:r>
      <w:r w:rsidR="00055B7B" w:rsidRPr="00D8620E">
        <w:rPr>
          <w:rFonts w:ascii="Times New Roman" w:hAnsi="Times New Roman"/>
          <w:sz w:val="24"/>
          <w:szCs w:val="24"/>
          <w:lang w:val="vi-VN"/>
        </w:rPr>
        <w:t>37</w:t>
      </w:r>
      <w:r w:rsidRPr="00D8620E">
        <w:rPr>
          <w:rFonts w:ascii="Times New Roman" w:hAnsi="Times New Roman"/>
          <w:sz w:val="24"/>
          <w:szCs w:val="24"/>
          <w:lang w:val="pt-BR"/>
        </w:rPr>
        <w:t>% so với chỉ số VN100 (là chỉ số có rổ thành phần bao gồm các cổ phiếu có mức vốn hóa cao và thanh khoản tốt)</w:t>
      </w:r>
    </w:p>
    <w:p w:rsidR="00835733" w:rsidRPr="00835733" w:rsidRDefault="00100534" w:rsidP="00835733">
      <w:pPr>
        <w:pStyle w:val="ListParagraph"/>
        <w:numPr>
          <w:ilvl w:val="0"/>
          <w:numId w:val="5"/>
        </w:numPr>
        <w:tabs>
          <w:tab w:val="left" w:pos="270"/>
          <w:tab w:val="left" w:pos="1134"/>
        </w:tabs>
        <w:spacing w:before="240" w:after="120"/>
        <w:ind w:left="0" w:firstLine="0"/>
        <w:jc w:val="both"/>
        <w:rPr>
          <w:rFonts w:ascii="Times New Roman" w:hAnsi="Times New Roman"/>
          <w:i/>
          <w:iCs/>
          <w:sz w:val="24"/>
          <w:szCs w:val="24"/>
          <w:highlight w:val="yellow"/>
        </w:rPr>
      </w:pPr>
      <w:r w:rsidRPr="00D8620E">
        <w:rPr>
          <w:rFonts w:ascii="Times New Roman" w:hAnsi="Times New Roman"/>
          <w:sz w:val="24"/>
          <w:szCs w:val="24"/>
        </w:rPr>
        <w:t xml:space="preserve">So </w:t>
      </w:r>
      <w:proofErr w:type="spellStart"/>
      <w:r w:rsidRPr="00D8620E">
        <w:rPr>
          <w:rFonts w:ascii="Times New Roman" w:hAnsi="Times New Roman"/>
          <w:sz w:val="24"/>
          <w:szCs w:val="24"/>
        </w:rPr>
        <w:t>sánh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cùng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bằng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835733">
        <w:rPr>
          <w:rFonts w:ascii="Times New Roman" w:hAnsi="Times New Roman"/>
          <w:i/>
          <w:iCs/>
          <w:sz w:val="24"/>
          <w:szCs w:val="24"/>
          <w:highlight w:val="yellow"/>
        </w:rPr>
        <w:t>)</w:t>
      </w:r>
      <w:r w:rsidR="00433D7C" w:rsidRPr="00835733">
        <w:rPr>
          <w:rFonts w:ascii="Times New Roman" w:hAnsi="Times New Roman"/>
          <w:i/>
          <w:iCs/>
          <w:sz w:val="24"/>
          <w:szCs w:val="24"/>
          <w:highlight w:val="yellow"/>
        </w:rPr>
        <w:t>:</w:t>
      </w:r>
      <w:r w:rsidR="00AF33F0"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không</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áp</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dụng</w:t>
      </w:r>
      <w:proofErr w:type="spellEnd"/>
      <w:r w:rsidR="00433D7C" w:rsidRPr="00835733">
        <w:rPr>
          <w:rFonts w:ascii="Times New Roman" w:hAnsi="Times New Roman"/>
          <w:i/>
          <w:iCs/>
          <w:sz w:val="24"/>
          <w:szCs w:val="24"/>
          <w:highlight w:val="yellow"/>
        </w:rPr>
        <w:t xml:space="preserve"> </w:t>
      </w:r>
      <w:r w:rsidR="00AF33F0" w:rsidRPr="00835733">
        <w:rPr>
          <w:rFonts w:ascii="Times New Roman" w:hAnsi="Times New Roman"/>
          <w:i/>
          <w:iCs/>
          <w:sz w:val="24"/>
          <w:szCs w:val="24"/>
          <w:highlight w:val="yellow"/>
        </w:rPr>
        <w:t xml:space="preserve">do </w:t>
      </w:r>
      <w:proofErr w:type="spellStart"/>
      <w:r w:rsidR="00AF33F0" w:rsidRPr="00835733">
        <w:rPr>
          <w:rFonts w:ascii="Times New Roman" w:hAnsi="Times New Roman"/>
          <w:i/>
          <w:iCs/>
          <w:sz w:val="24"/>
          <w:szCs w:val="24"/>
          <w:highlight w:val="yellow"/>
        </w:rPr>
        <w:t>Quỹ</w:t>
      </w:r>
      <w:proofErr w:type="spellEnd"/>
      <w:r w:rsidR="00AF33F0" w:rsidRPr="00835733">
        <w:rPr>
          <w:rFonts w:ascii="Times New Roman" w:hAnsi="Times New Roman"/>
          <w:i/>
          <w:iCs/>
          <w:sz w:val="24"/>
          <w:szCs w:val="24"/>
          <w:highlight w:val="yellow"/>
        </w:rPr>
        <w:t xml:space="preserve"> </w:t>
      </w:r>
      <w:proofErr w:type="spellStart"/>
      <w:r w:rsidR="00AF33F0" w:rsidRPr="00835733">
        <w:rPr>
          <w:rFonts w:ascii="Times New Roman" w:hAnsi="Times New Roman"/>
          <w:i/>
          <w:iCs/>
          <w:sz w:val="24"/>
          <w:szCs w:val="24"/>
          <w:highlight w:val="yellow"/>
        </w:rPr>
        <w:t>không</w:t>
      </w:r>
      <w:proofErr w:type="spellEnd"/>
      <w:r w:rsidR="00AF33F0" w:rsidRPr="00835733">
        <w:rPr>
          <w:rFonts w:ascii="Times New Roman" w:hAnsi="Times New Roman"/>
          <w:i/>
          <w:iCs/>
          <w:sz w:val="24"/>
          <w:szCs w:val="24"/>
          <w:highlight w:val="yellow"/>
        </w:rPr>
        <w:t xml:space="preserve"> </w:t>
      </w:r>
      <w:proofErr w:type="spellStart"/>
      <w:r w:rsidR="00AF33F0" w:rsidRPr="00835733">
        <w:rPr>
          <w:rFonts w:ascii="Times New Roman" w:hAnsi="Times New Roman"/>
          <w:i/>
          <w:iCs/>
          <w:sz w:val="24"/>
          <w:szCs w:val="24"/>
          <w:highlight w:val="yellow"/>
        </w:rPr>
        <w:t>có</w:t>
      </w:r>
      <w:proofErr w:type="spellEnd"/>
      <w:r w:rsidR="00AF33F0"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chỉ</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số</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tham</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chiếu</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danh</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mục</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tham</w:t>
      </w:r>
      <w:proofErr w:type="spellEnd"/>
      <w:r w:rsidR="00433D7C" w:rsidRPr="00835733">
        <w:rPr>
          <w:rFonts w:ascii="Times New Roman" w:hAnsi="Times New Roman"/>
          <w:i/>
          <w:iCs/>
          <w:sz w:val="24"/>
          <w:szCs w:val="24"/>
          <w:highlight w:val="yellow"/>
        </w:rPr>
        <w:t xml:space="preserve"> </w:t>
      </w:r>
      <w:proofErr w:type="spellStart"/>
      <w:r w:rsidR="00433D7C" w:rsidRPr="00835733">
        <w:rPr>
          <w:rFonts w:ascii="Times New Roman" w:hAnsi="Times New Roman"/>
          <w:i/>
          <w:iCs/>
          <w:sz w:val="24"/>
          <w:szCs w:val="24"/>
          <w:highlight w:val="yellow"/>
        </w:rPr>
        <w:t>chiế</w:t>
      </w:r>
      <w:r w:rsidR="00AF33F0" w:rsidRPr="00835733">
        <w:rPr>
          <w:rFonts w:ascii="Times New Roman" w:hAnsi="Times New Roman"/>
          <w:i/>
          <w:iCs/>
          <w:sz w:val="24"/>
          <w:szCs w:val="24"/>
          <w:highlight w:val="yellow"/>
        </w:rPr>
        <w:t>u</w:t>
      </w:r>
      <w:proofErr w:type="spellEnd"/>
      <w:r w:rsidR="00AF33F0" w:rsidRPr="00835733">
        <w:rPr>
          <w:rFonts w:ascii="Times New Roman" w:hAnsi="Times New Roman"/>
          <w:i/>
          <w:iCs/>
          <w:sz w:val="24"/>
          <w:szCs w:val="24"/>
          <w:highlight w:val="yellow"/>
        </w:rPr>
        <w:t xml:space="preserve"> </w:t>
      </w:r>
      <w:proofErr w:type="spellStart"/>
      <w:r w:rsidR="00AF33F0" w:rsidRPr="00835733">
        <w:rPr>
          <w:rFonts w:ascii="Times New Roman" w:hAnsi="Times New Roman"/>
          <w:i/>
          <w:iCs/>
          <w:sz w:val="24"/>
          <w:szCs w:val="24"/>
          <w:highlight w:val="yellow"/>
        </w:rPr>
        <w:t>cụ</w:t>
      </w:r>
      <w:proofErr w:type="spellEnd"/>
      <w:r w:rsidR="00AF33F0" w:rsidRPr="00835733">
        <w:rPr>
          <w:rFonts w:ascii="Times New Roman" w:hAnsi="Times New Roman"/>
          <w:i/>
          <w:iCs/>
          <w:sz w:val="24"/>
          <w:szCs w:val="24"/>
          <w:highlight w:val="yellow"/>
        </w:rPr>
        <w:t xml:space="preserve"> </w:t>
      </w:r>
      <w:proofErr w:type="spellStart"/>
      <w:r w:rsidR="00AF33F0" w:rsidRPr="00835733">
        <w:rPr>
          <w:rFonts w:ascii="Times New Roman" w:hAnsi="Times New Roman"/>
          <w:i/>
          <w:iCs/>
          <w:sz w:val="24"/>
          <w:szCs w:val="24"/>
          <w:highlight w:val="yellow"/>
        </w:rPr>
        <w:t>thể</w:t>
      </w:r>
      <w:proofErr w:type="spellEnd"/>
      <w:r w:rsidR="00AF33F0" w:rsidRPr="00835733">
        <w:rPr>
          <w:rFonts w:ascii="Times New Roman" w:hAnsi="Times New Roman"/>
          <w:i/>
          <w:iCs/>
          <w:sz w:val="24"/>
          <w:szCs w:val="24"/>
          <w:highlight w:val="yellow"/>
        </w:rPr>
        <w:t>.</w:t>
      </w:r>
      <w:bookmarkStart w:id="0" w:name="_GoBack"/>
      <w:bookmarkEnd w:id="0"/>
    </w:p>
    <w:p w:rsidR="00100534" w:rsidRPr="00D8620E" w:rsidRDefault="00100534" w:rsidP="00835733">
      <w:pPr>
        <w:pStyle w:val="ListParagraph"/>
        <w:numPr>
          <w:ilvl w:val="0"/>
          <w:numId w:val="5"/>
        </w:numPr>
        <w:tabs>
          <w:tab w:val="left" w:pos="270"/>
          <w:tab w:val="left" w:pos="1134"/>
        </w:tabs>
        <w:spacing w:before="240" w:after="120"/>
        <w:ind w:left="0" w:firstLine="0"/>
        <w:contextualSpacing w:val="0"/>
        <w:jc w:val="both"/>
        <w:rPr>
          <w:rFonts w:ascii="Times New Roman" w:hAnsi="Times New Roman"/>
          <w:sz w:val="24"/>
          <w:szCs w:val="24"/>
        </w:rPr>
      </w:pPr>
      <w:r w:rsidRPr="00D8620E">
        <w:rPr>
          <w:rFonts w:ascii="Times New Roman" w:hAnsi="Times New Roman"/>
          <w:sz w:val="24"/>
          <w:szCs w:val="24"/>
        </w:rPr>
        <w:t xml:space="preserve">So </w:t>
      </w:r>
      <w:proofErr w:type="spellStart"/>
      <w:r w:rsidRPr="00D8620E">
        <w:rPr>
          <w:rFonts w:ascii="Times New Roman" w:hAnsi="Times New Roman"/>
          <w:sz w:val="24"/>
          <w:szCs w:val="24"/>
        </w:rPr>
        <w:t>sánh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(05)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bằng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w:t>
      </w:r>
      <w:r w:rsidR="00F27D08" w:rsidRPr="00D8620E">
        <w:rPr>
          <w:rFonts w:ascii="Times New Roman" w:hAnsi="Times New Roman"/>
          <w:sz w:val="24"/>
          <w:szCs w:val="24"/>
        </w:rPr>
        <w:t xml:space="preserve">: </w:t>
      </w:r>
      <w:proofErr w:type="spellStart"/>
      <w:r w:rsidR="00AA2CB5" w:rsidRPr="00835733">
        <w:rPr>
          <w:rFonts w:ascii="Times New Roman" w:hAnsi="Times New Roman"/>
          <w:i/>
          <w:sz w:val="24"/>
          <w:szCs w:val="24"/>
        </w:rPr>
        <w:t>không</w:t>
      </w:r>
      <w:proofErr w:type="spellEnd"/>
      <w:r w:rsidR="00AA2CB5" w:rsidRPr="00835733">
        <w:rPr>
          <w:rFonts w:ascii="Times New Roman" w:hAnsi="Times New Roman"/>
          <w:i/>
          <w:sz w:val="24"/>
          <w:szCs w:val="24"/>
        </w:rPr>
        <w:t xml:space="preserve"> </w:t>
      </w:r>
      <w:proofErr w:type="spellStart"/>
      <w:r w:rsidR="00AA2CB5" w:rsidRPr="00835733">
        <w:rPr>
          <w:rFonts w:ascii="Times New Roman" w:hAnsi="Times New Roman"/>
          <w:i/>
          <w:sz w:val="24"/>
          <w:szCs w:val="24"/>
        </w:rPr>
        <w:t>áp</w:t>
      </w:r>
      <w:proofErr w:type="spellEnd"/>
      <w:r w:rsidR="00AA2CB5" w:rsidRPr="00835733">
        <w:rPr>
          <w:rFonts w:ascii="Times New Roman" w:hAnsi="Times New Roman"/>
          <w:i/>
          <w:sz w:val="24"/>
          <w:szCs w:val="24"/>
        </w:rPr>
        <w:t xml:space="preserve"> </w:t>
      </w:r>
      <w:proofErr w:type="spellStart"/>
      <w:r w:rsidR="00AA2CB5" w:rsidRPr="00835733">
        <w:rPr>
          <w:rFonts w:ascii="Times New Roman" w:hAnsi="Times New Roman"/>
          <w:i/>
          <w:sz w:val="24"/>
          <w:szCs w:val="24"/>
        </w:rPr>
        <w:t>dụng</w:t>
      </w:r>
      <w:proofErr w:type="spellEnd"/>
      <w:r w:rsidR="00AF33F0" w:rsidRPr="00835733">
        <w:rPr>
          <w:rFonts w:ascii="Times New Roman" w:hAnsi="Times New Roman"/>
          <w:i/>
          <w:sz w:val="24"/>
          <w:szCs w:val="24"/>
        </w:rPr>
        <w:t xml:space="preserve"> do </w:t>
      </w:r>
      <w:proofErr w:type="spellStart"/>
      <w:r w:rsidR="00AF33F0" w:rsidRPr="00835733">
        <w:rPr>
          <w:rFonts w:ascii="Times New Roman" w:hAnsi="Times New Roman"/>
          <w:i/>
          <w:sz w:val="24"/>
          <w:szCs w:val="24"/>
        </w:rPr>
        <w:t>Quỹ</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không</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có</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chỉ</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số</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tham</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chiếu</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danh</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mục</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tham</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chiếu</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cụ</w:t>
      </w:r>
      <w:proofErr w:type="spellEnd"/>
      <w:r w:rsidR="00AF33F0" w:rsidRPr="00835733">
        <w:rPr>
          <w:rFonts w:ascii="Times New Roman" w:hAnsi="Times New Roman"/>
          <w:i/>
          <w:sz w:val="24"/>
          <w:szCs w:val="24"/>
        </w:rPr>
        <w:t xml:space="preserve"> </w:t>
      </w:r>
      <w:proofErr w:type="spellStart"/>
      <w:r w:rsidR="00AF33F0" w:rsidRPr="00835733">
        <w:rPr>
          <w:rFonts w:ascii="Times New Roman" w:hAnsi="Times New Roman"/>
          <w:i/>
          <w:sz w:val="24"/>
          <w:szCs w:val="24"/>
        </w:rPr>
        <w:t>thể</w:t>
      </w:r>
      <w:proofErr w:type="spellEnd"/>
      <w:r w:rsidR="00433D7C" w:rsidRPr="00D8620E">
        <w:rPr>
          <w:rFonts w:ascii="Times New Roman" w:hAnsi="Times New Roman"/>
          <w:i/>
          <w:sz w:val="24"/>
          <w:szCs w:val="24"/>
        </w:rPr>
        <w:t xml:space="preserve"> </w:t>
      </w:r>
      <w:r w:rsidR="00AA2CB5" w:rsidRPr="00D8620E">
        <w:rPr>
          <w:rFonts w:ascii="Times New Roman" w:hAnsi="Times New Roman"/>
          <w:i/>
          <w:sz w:val="24"/>
          <w:szCs w:val="24"/>
        </w:rPr>
        <w:t xml:space="preserve"> </w:t>
      </w:r>
    </w:p>
    <w:p w:rsidR="00100534" w:rsidRPr="00D8620E" w:rsidRDefault="00100534" w:rsidP="00835733">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D8620E">
        <w:rPr>
          <w:rFonts w:ascii="Times New Roman" w:hAnsi="Times New Roman"/>
          <w:sz w:val="24"/>
          <w:szCs w:val="24"/>
        </w:rPr>
        <w:t xml:space="preserve">e) </w:t>
      </w:r>
      <w:proofErr w:type="spellStart"/>
      <w:r w:rsidRPr="00D8620E">
        <w:rPr>
          <w:rFonts w:ascii="Times New Roman" w:hAnsi="Times New Roman"/>
          <w:sz w:val="24"/>
          <w:szCs w:val="24"/>
        </w:rPr>
        <w:t>Mô</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dụng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sự</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biệt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giữa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so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thì</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sung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ưu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w:t>
      </w:r>
    </w:p>
    <w:p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bao </w:t>
      </w:r>
      <w:proofErr w:type="spellStart"/>
      <w:r w:rsidRPr="00D8620E">
        <w:rPr>
          <w:rFonts w:ascii="Times New Roman" w:hAnsi="Times New Roman"/>
          <w:sz w:val="24"/>
          <w:szCs w:val="24"/>
        </w:rPr>
        <w:t>gồm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Thị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Việt Nam.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chọn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
    <w:p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chọn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như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w:t>
      </w:r>
    </w:p>
    <w:p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Là</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công</w:t>
      </w:r>
      <w:proofErr w:type="spellEnd"/>
      <w:r w:rsidRPr="00D8620E">
        <w:rPr>
          <w:rFonts w:ascii="Times New Roman" w:hAnsi="Times New Roman" w:cs="Times New Roman"/>
          <w:sz w:val="24"/>
          <w:szCs w:val="24"/>
        </w:rPr>
        <w:t xml:space="preserve"> ty </w:t>
      </w:r>
      <w:proofErr w:type="spellStart"/>
      <w:r w:rsidRPr="00D8620E">
        <w:rPr>
          <w:rFonts w:ascii="Times New Roman" w:hAnsi="Times New Roman" w:cs="Times New Roman"/>
          <w:sz w:val="24"/>
          <w:szCs w:val="24"/>
        </w:rPr>
        <w:t>trong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nhóm</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dẫn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đầu</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ngành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nghề</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kinh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doanh</w:t>
      </w:r>
      <w:proofErr w:type="spellEnd"/>
    </w:p>
    <w:p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tình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trạng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tài</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chính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lành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mạnh</w:t>
      </w:r>
      <w:proofErr w:type="spellEnd"/>
    </w:p>
    <w:p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dòng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tiền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ổn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định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chất</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lượng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tài</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sản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tốt</w:t>
      </w:r>
      <w:proofErr w:type="spellEnd"/>
    </w:p>
    <w:p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hệ</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thống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quản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trị</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doanh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nghiệp</w:t>
      </w:r>
      <w:proofErr w:type="spellEnd"/>
      <w:r w:rsidRPr="00D8620E">
        <w:rPr>
          <w:rFonts w:ascii="Times New Roman" w:hAnsi="Times New Roman" w:cs="Times New Roman"/>
          <w:sz w:val="24"/>
          <w:szCs w:val="24"/>
        </w:rPr>
        <w:t xml:space="preserve"> tin </w:t>
      </w:r>
      <w:proofErr w:type="spellStart"/>
      <w:r w:rsidRPr="00D8620E">
        <w:rPr>
          <w:rFonts w:ascii="Times New Roman" w:hAnsi="Times New Roman" w:cs="Times New Roman"/>
          <w:sz w:val="24"/>
          <w:szCs w:val="24"/>
        </w:rPr>
        <w:t>cậy</w:t>
      </w:r>
      <w:proofErr w:type="spellEnd"/>
      <w:r w:rsidRPr="00D8620E">
        <w:rPr>
          <w:rFonts w:ascii="Times New Roman" w:hAnsi="Times New Roman" w:cs="Times New Roman"/>
          <w:sz w:val="24"/>
          <w:szCs w:val="24"/>
        </w:rPr>
        <w:t>.</w:t>
      </w:r>
    </w:p>
    <w:p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Lĩnh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tập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00835733">
        <w:rPr>
          <w:rFonts w:ascii="Times New Roman" w:hAnsi="Times New Roman"/>
          <w:sz w:val="24"/>
          <w:szCs w:val="24"/>
        </w:rPr>
        <w:t>.</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D8620E">
        <w:rPr>
          <w:rFonts w:ascii="Times New Roman" w:hAnsi="Times New Roman"/>
          <w:sz w:val="24"/>
          <w:szCs w:val="24"/>
        </w:rPr>
        <w:t xml:space="preserve">f) </w:t>
      </w:r>
      <w:proofErr w:type="spellStart"/>
      <w:r w:rsidRPr="00D8620E">
        <w:rPr>
          <w:rFonts w:ascii="Times New Roman" w:hAnsi="Times New Roman"/>
          <w:sz w:val="24"/>
          <w:szCs w:val="24"/>
        </w:rPr>
        <w:t>Mô</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sự</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biệt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cấu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so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liền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003A0280" w:rsidRPr="00D8620E">
        <w:rPr>
          <w:rFonts w:ascii="Times New Roman" w:hAnsi="Times New Roman"/>
          <w:sz w:val="24"/>
          <w:szCs w:val="24"/>
        </w:rPr>
        <w:t xml:space="preserve">: </w:t>
      </w:r>
      <w:proofErr w:type="spellStart"/>
      <w:r w:rsidR="003A0280" w:rsidRPr="00D8620E">
        <w:rPr>
          <w:rFonts w:ascii="Times New Roman" w:hAnsi="Times New Roman"/>
          <w:i/>
          <w:sz w:val="24"/>
          <w:szCs w:val="24"/>
        </w:rPr>
        <w:t>không</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áp</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dụng</w:t>
      </w:r>
      <w:proofErr w:type="spellEnd"/>
      <w:r w:rsidR="003A0280" w:rsidRPr="00D8620E">
        <w:rPr>
          <w:rFonts w:ascii="Times New Roman" w:hAnsi="Times New Roman"/>
          <w:i/>
          <w:sz w:val="24"/>
          <w:szCs w:val="24"/>
        </w:rPr>
        <w:t xml:space="preserve"> do </w:t>
      </w:r>
      <w:proofErr w:type="spellStart"/>
      <w:r w:rsidR="003A0280" w:rsidRPr="00D8620E">
        <w:rPr>
          <w:rFonts w:ascii="Times New Roman" w:hAnsi="Times New Roman"/>
          <w:i/>
          <w:sz w:val="24"/>
          <w:szCs w:val="24"/>
        </w:rPr>
        <w:t>Quỹ</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mới</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thành</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lập</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và</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đi</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vào</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hoạt</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động</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từ</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ngày</w:t>
      </w:r>
      <w:proofErr w:type="spellEnd"/>
      <w:r w:rsidR="003A0280" w:rsidRPr="00D8620E">
        <w:rPr>
          <w:rFonts w:ascii="Times New Roman" w:hAnsi="Times New Roman"/>
          <w:i/>
          <w:sz w:val="24"/>
          <w:szCs w:val="24"/>
        </w:rPr>
        <w:t xml:space="preserve"> 03/01/2019</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D8620E">
        <w:rPr>
          <w:rFonts w:ascii="Times New Roman" w:hAnsi="Times New Roman"/>
          <w:sz w:val="24"/>
          <w:szCs w:val="24"/>
        </w:rPr>
        <w:t xml:space="preserve">g)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so </w:t>
      </w:r>
      <w:proofErr w:type="spellStart"/>
      <w:r w:rsidRPr="00D8620E">
        <w:rPr>
          <w:rFonts w:ascii="Times New Roman" w:hAnsi="Times New Roman"/>
          <w:sz w:val="24"/>
          <w:szCs w:val="24"/>
        </w:rPr>
        <w:t>sánh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này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nhất</w:t>
      </w:r>
      <w:proofErr w:type="spellEnd"/>
      <w:r w:rsidR="003A0280" w:rsidRPr="00D8620E">
        <w:rPr>
          <w:rFonts w:ascii="Times New Roman" w:hAnsi="Times New Roman"/>
          <w:sz w:val="24"/>
          <w:szCs w:val="24"/>
        </w:rPr>
        <w:t xml:space="preserve">: </w:t>
      </w:r>
      <w:proofErr w:type="spellStart"/>
      <w:r w:rsidR="003A0280" w:rsidRPr="00D8620E">
        <w:rPr>
          <w:rFonts w:ascii="Times New Roman" w:hAnsi="Times New Roman"/>
          <w:i/>
          <w:sz w:val="24"/>
          <w:szCs w:val="24"/>
        </w:rPr>
        <w:t>không</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áp</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dụng</w:t>
      </w:r>
      <w:proofErr w:type="spellEnd"/>
      <w:r w:rsidR="003A0280" w:rsidRPr="00D8620E">
        <w:rPr>
          <w:rFonts w:ascii="Times New Roman" w:hAnsi="Times New Roman"/>
          <w:i/>
          <w:sz w:val="24"/>
          <w:szCs w:val="24"/>
        </w:rPr>
        <w:t xml:space="preserve"> do </w:t>
      </w:r>
      <w:proofErr w:type="spellStart"/>
      <w:r w:rsidR="003A0280" w:rsidRPr="00D8620E">
        <w:rPr>
          <w:rFonts w:ascii="Times New Roman" w:hAnsi="Times New Roman"/>
          <w:i/>
          <w:sz w:val="24"/>
          <w:szCs w:val="24"/>
        </w:rPr>
        <w:t>Quỹ</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mới</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thành</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lập</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và</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đi</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vào</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hoạt</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động</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từ</w:t>
      </w:r>
      <w:proofErr w:type="spellEnd"/>
      <w:r w:rsidR="003A0280" w:rsidRPr="00D8620E">
        <w:rPr>
          <w:rFonts w:ascii="Times New Roman" w:hAnsi="Times New Roman"/>
          <w:i/>
          <w:sz w:val="24"/>
          <w:szCs w:val="24"/>
        </w:rPr>
        <w:t xml:space="preserve"> </w:t>
      </w:r>
      <w:proofErr w:type="spellStart"/>
      <w:r w:rsidR="003A0280" w:rsidRPr="00D8620E">
        <w:rPr>
          <w:rFonts w:ascii="Times New Roman" w:hAnsi="Times New Roman"/>
          <w:i/>
          <w:sz w:val="24"/>
          <w:szCs w:val="24"/>
        </w:rPr>
        <w:t>ngày</w:t>
      </w:r>
      <w:proofErr w:type="spellEnd"/>
      <w:r w:rsidR="003A0280" w:rsidRPr="00D8620E">
        <w:rPr>
          <w:rFonts w:ascii="Times New Roman" w:hAnsi="Times New Roman"/>
          <w:i/>
          <w:sz w:val="24"/>
          <w:szCs w:val="24"/>
        </w:rPr>
        <w:t xml:space="preserve"> 03/01/2019</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D8620E">
        <w:rPr>
          <w:rFonts w:ascii="Times New Roman" w:hAnsi="Times New Roman"/>
          <w:sz w:val="24"/>
          <w:szCs w:val="24"/>
        </w:rPr>
        <w:t xml:space="preserve">h)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nước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ngoài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tin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loại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blue-chip,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thấp</w:t>
      </w:r>
      <w:proofErr w:type="spellEnd"/>
      <w:r w:rsidRPr="00D8620E">
        <w:rPr>
          <w:rFonts w:ascii="Times New Roman" w:hAnsi="Times New Roman"/>
          <w:sz w:val="24"/>
          <w:szCs w:val="24"/>
        </w:rPr>
        <w:t xml:space="preserve"> (small- ca</w:t>
      </w:r>
      <w:r w:rsidR="00BC38CC" w:rsidRPr="00D8620E">
        <w:rPr>
          <w:rFonts w:ascii="Times New Roman" w:hAnsi="Times New Roman"/>
          <w:sz w:val="24"/>
          <w:szCs w:val="24"/>
        </w:rPr>
        <w:t>p)</w:t>
      </w:r>
      <w:r w:rsidR="004F236F" w:rsidRPr="00D8620E">
        <w:rPr>
          <w:rFonts w:ascii="Times New Roman" w:hAnsi="Times New Roman"/>
          <w:sz w:val="24"/>
          <w:szCs w:val="24"/>
        </w:rPr>
        <w:t>;</w:t>
      </w:r>
    </w:p>
    <w:p w:rsidR="00AA2CB5" w:rsidRPr="00D8620E"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lastRenderedPageBreak/>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những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doanh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nghiệp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vượt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nhưng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rõ</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rệt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lai</w:t>
      </w:r>
      <w:proofErr w:type="spellEnd"/>
      <w:r w:rsidRPr="00D8620E">
        <w:rPr>
          <w:rFonts w:ascii="Times New Roman" w:hAnsi="Times New Roman"/>
          <w:sz w:val="24"/>
          <w:szCs w:val="24"/>
        </w:rPr>
        <w:t xml:space="preserve">. </w:t>
      </w:r>
    </w:p>
    <w:p w:rsidR="00AC06E2" w:rsidRPr="00D8620E"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Biểu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dưới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diễn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VN-index (</w:t>
      </w:r>
      <w:proofErr w:type="spellStart"/>
      <w:r w:rsidRPr="00D8620E">
        <w:rPr>
          <w:rFonts w:ascii="Times New Roman" w:hAnsi="Times New Roman"/>
          <w:sz w:val="24"/>
          <w:szCs w:val="24"/>
        </w:rPr>
        <w:t>dây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đỏ</w:t>
      </w:r>
      <w:proofErr w:type="spellEnd"/>
      <w:r w:rsidRPr="00D8620E">
        <w:rPr>
          <w:rFonts w:ascii="Times New Roman" w:hAnsi="Times New Roman"/>
          <w:sz w:val="24"/>
          <w:szCs w:val="24"/>
        </w:rPr>
        <w:t>)</w:t>
      </w:r>
    </w:p>
    <w:p w:rsidR="00AC06E2" w:rsidRPr="00D8620E" w:rsidRDefault="00055B7B" w:rsidP="00100534">
      <w:pPr>
        <w:pStyle w:val="ListParagraph"/>
        <w:tabs>
          <w:tab w:val="left" w:pos="270"/>
          <w:tab w:val="left" w:pos="1134"/>
        </w:tabs>
        <w:spacing w:after="0" w:line="300" w:lineRule="auto"/>
        <w:ind w:left="0"/>
        <w:jc w:val="both"/>
        <w:rPr>
          <w:rFonts w:ascii="Times New Roman" w:hAnsi="Times New Roman"/>
          <w:sz w:val="24"/>
          <w:szCs w:val="24"/>
        </w:rPr>
      </w:pPr>
      <w:r w:rsidRPr="00D8620E">
        <w:rPr>
          <w:rFonts w:ascii="Times New Roman" w:hAnsi="Times New Roman"/>
          <w:noProof/>
          <w:sz w:val="24"/>
          <w:szCs w:val="24"/>
        </w:rPr>
        <w:drawing>
          <wp:inline distT="0" distB="0" distL="0" distR="0" wp14:anchorId="0B15C0B5" wp14:editId="5C8E91F4">
            <wp:extent cx="5943600" cy="3715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rsidR="00055B7B" w:rsidRPr="00D8620E" w:rsidRDefault="00055B7B" w:rsidP="00055B7B">
      <w:pPr>
        <w:shd w:val="clear" w:color="auto" w:fill="FFFFFF"/>
        <w:tabs>
          <w:tab w:val="left" w:pos="540"/>
        </w:tabs>
        <w:spacing w:before="120" w:after="0" w:line="240" w:lineRule="auto"/>
        <w:jc w:val="both"/>
        <w:rPr>
          <w:rFonts w:ascii="Times New Roman" w:hAnsi="Times New Roman"/>
          <w:sz w:val="24"/>
          <w:szCs w:val="24"/>
          <w:lang w:val="nl-NL"/>
        </w:rPr>
      </w:pPr>
      <w:r w:rsidRPr="00D8620E">
        <w:rPr>
          <w:rFonts w:ascii="Times New Roman" w:hAnsi="Times New Roman"/>
          <w:sz w:val="24"/>
          <w:szCs w:val="24"/>
          <w:lang w:val="nl-NL"/>
        </w:rPr>
        <w:t xml:space="preserve">Năm 2019 là một năm khá trầm lắng của thị trường </w:t>
      </w:r>
      <w:r w:rsidRPr="00D8620E">
        <w:rPr>
          <w:rFonts w:ascii="Times New Roman" w:hAnsi="Times New Roman"/>
          <w:sz w:val="24"/>
          <w:szCs w:val="24"/>
          <w:lang w:val="vi-VN"/>
        </w:rPr>
        <w:t xml:space="preserve">Việt nam </w:t>
      </w:r>
      <w:r w:rsidRPr="00D8620E">
        <w:rPr>
          <w:rFonts w:ascii="Times New Roman" w:hAnsi="Times New Roman"/>
          <w:sz w:val="24"/>
          <w:szCs w:val="24"/>
          <w:lang w:val="nl-NL"/>
        </w:rPr>
        <w:t xml:space="preserve">so với năm 2018 là một năm thăng trầm của Thị trường chứng khoán Việt Nam. Thị trường chứng kiến chỉ số </w:t>
      </w:r>
      <w:hyperlink r:id="rId7" w:tgtFrame="_blank" w:history="1">
        <w:r w:rsidRPr="00D8620E">
          <w:rPr>
            <w:rFonts w:ascii="Times New Roman" w:hAnsi="Times New Roman"/>
            <w:sz w:val="24"/>
            <w:szCs w:val="24"/>
            <w:lang w:val="nl-NL"/>
          </w:rPr>
          <w:t>VN-Index</w:t>
        </w:r>
      </w:hyperlink>
      <w:r w:rsidRPr="00D8620E">
        <w:rPr>
          <w:rFonts w:ascii="Times New Roman" w:hAnsi="Times New Roman"/>
          <w:sz w:val="24"/>
          <w:szCs w:val="24"/>
          <w:lang w:val="nl-NL"/>
        </w:rPr>
        <w:t> đã có diễn biến tích cực trong quý I, tuy nhiên thị trường đã r</w:t>
      </w:r>
      <w:r w:rsidRPr="00D8620E">
        <w:rPr>
          <w:rFonts w:ascii="Times New Roman" w:hAnsi="Times New Roman"/>
          <w:sz w:val="24"/>
          <w:szCs w:val="24"/>
          <w:lang w:val="vi-VN"/>
        </w:rPr>
        <w:t>ơ</w:t>
      </w:r>
      <w:r w:rsidRPr="00D8620E">
        <w:rPr>
          <w:rFonts w:ascii="Times New Roman" w:hAnsi="Times New Roman"/>
          <w:sz w:val="24"/>
          <w:szCs w:val="24"/>
          <w:lang w:val="nl-NL"/>
        </w:rPr>
        <w:t xml:space="preserve">i vào trạng thái trầm lắng trong 2 quý tiếp theo với biên độ dao động khá hẹp. Đến đầu quý IV năm 2019, chỉ số VN-index đã có cú bức phá mạnh trước khi điều chỉnh giảm và chốt năm với mức tăng trưởng khiêm tốn 7,7% cả năm 2019. 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w:t>
      </w:r>
      <w:r w:rsidRPr="00D8620E">
        <w:rPr>
          <w:rFonts w:ascii="Times New Roman" w:hAnsi="Times New Roman"/>
          <w:b/>
          <w:i/>
          <w:sz w:val="24"/>
          <w:szCs w:val="24"/>
          <w:lang w:val="nl-NL"/>
        </w:rPr>
        <w:t>dấu hiệu điều chỉnh tích lũy trong năm 2019</w:t>
      </w:r>
      <w:r w:rsidRPr="00D8620E">
        <w:rPr>
          <w:rFonts w:ascii="Times New Roman" w:hAnsi="Times New Roman"/>
          <w:sz w:val="24"/>
          <w:szCs w:val="24"/>
          <w:lang w:val="nl-NL"/>
        </w:rPr>
        <w:t>, một số điểm chính giúp củng cố xu hướng tăng điểm cho Thị trường Chứng khoán như sau:</w:t>
      </w:r>
    </w:p>
    <w:p w:rsidR="00055B7B" w:rsidRPr="00D8620E" w:rsidRDefault="00055B7B" w:rsidP="00055B7B">
      <w:pPr>
        <w:pStyle w:val="ListParagraph"/>
        <w:widowControl w:val="0"/>
        <w:numPr>
          <w:ilvl w:val="0"/>
          <w:numId w:val="10"/>
        </w:numPr>
        <w:spacing w:before="100" w:after="120" w:line="288" w:lineRule="auto"/>
        <w:ind w:left="432" w:hanging="432"/>
        <w:contextualSpacing w:val="0"/>
        <w:jc w:val="both"/>
        <w:rPr>
          <w:rFonts w:ascii="Times New Roman" w:eastAsia="Times New Roman" w:hAnsi="Times New Roman"/>
          <w:sz w:val="24"/>
          <w:szCs w:val="24"/>
          <w:lang w:val="nl-NL"/>
        </w:rPr>
      </w:pPr>
      <w:r w:rsidRPr="00D8620E">
        <w:rPr>
          <w:rFonts w:ascii="Times New Roman" w:hAnsi="Times New Roman"/>
          <w:sz w:val="24"/>
          <w:szCs w:val="24"/>
          <w:lang w:val="nl-NL"/>
        </w:rPr>
        <w:t xml:space="preserve">Với môi trường kinh tế vĩ mô: Việt Nam được đánh giá phát triển ổn định thể hiện qua các tiêu chí như tăng trưởng GDP, tín dụng, lãi suất, lạm phát, tỷ giá, tình hình thu hút FDI, chỉ </w:t>
      </w:r>
      <w:r w:rsidRPr="00D8620E">
        <w:rPr>
          <w:rFonts w:ascii="Times New Roman" w:hAnsi="Times New Roman"/>
          <w:sz w:val="24"/>
          <w:szCs w:val="24"/>
          <w:lang w:val="nl-NL"/>
        </w:rPr>
        <w:lastRenderedPageBreak/>
        <w:t>số PMI... như đã phân tích ở trên. Như vậy, nền kinh tế Việt Nam đang tiếp tục bước vào giai đoạn phát triển với một chu kỳ phát triển kinh tế mới.</w:t>
      </w:r>
    </w:p>
    <w:p w:rsidR="00055B7B" w:rsidRPr="00D8620E" w:rsidRDefault="00055B7B" w:rsidP="00055B7B">
      <w:pPr>
        <w:pStyle w:val="ListParagraph"/>
        <w:widowControl w:val="0"/>
        <w:numPr>
          <w:ilvl w:val="0"/>
          <w:numId w:val="10"/>
        </w:numPr>
        <w:spacing w:before="100" w:after="120" w:line="288" w:lineRule="auto"/>
        <w:ind w:left="432" w:hanging="432"/>
        <w:contextualSpacing w:val="0"/>
        <w:jc w:val="both"/>
        <w:rPr>
          <w:rFonts w:ascii="Times New Roman" w:hAnsi="Times New Roman"/>
          <w:sz w:val="24"/>
          <w:szCs w:val="24"/>
          <w:lang w:val="nl-NL"/>
        </w:rPr>
      </w:pPr>
      <w:r w:rsidRPr="00D8620E">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rsidR="00055B7B" w:rsidRPr="00D8620E" w:rsidRDefault="00055B7B" w:rsidP="00055B7B">
      <w:pPr>
        <w:widowControl w:val="0"/>
        <w:spacing w:before="100" w:after="120" w:line="288" w:lineRule="auto"/>
        <w:jc w:val="both"/>
        <w:rPr>
          <w:rFonts w:ascii="Times New Roman" w:hAnsi="Times New Roman"/>
          <w:sz w:val="24"/>
          <w:szCs w:val="24"/>
          <w:lang w:val="nl-NL"/>
        </w:rPr>
      </w:pPr>
      <w:r w:rsidRPr="00D8620E">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và việc niêm yết cổ phiếu của các ngân hàng trước năm 2020; (iii) triển vọng nâng hạng Thị trường Việt Nam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tháng 01 năm 2021.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rsidR="00055B7B" w:rsidRPr="00D8620E" w:rsidRDefault="00055B7B" w:rsidP="00055B7B">
      <w:pPr>
        <w:shd w:val="clear" w:color="auto" w:fill="FFFFFF"/>
        <w:tabs>
          <w:tab w:val="left" w:pos="540"/>
        </w:tabs>
        <w:spacing w:before="120" w:after="0" w:line="240" w:lineRule="auto"/>
        <w:jc w:val="both"/>
        <w:rPr>
          <w:rFonts w:ascii="Times New Roman" w:hAnsi="Times New Roman"/>
          <w:sz w:val="24"/>
          <w:szCs w:val="24"/>
          <w:lang w:val="vi-VN"/>
        </w:rPr>
      </w:pPr>
      <w:r w:rsidRPr="00D8620E">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r w:rsidRPr="00D8620E">
        <w:rPr>
          <w:rFonts w:ascii="Times New Roman" w:hAnsi="Times New Roman"/>
          <w:sz w:val="24"/>
          <w:szCs w:val="24"/>
          <w:lang w:val="vi-VN"/>
        </w:rPr>
        <w:t>.</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b/>
          <w:sz w:val="24"/>
          <w:szCs w:val="24"/>
          <w:lang w:val="nl-NL"/>
        </w:rPr>
      </w:pPr>
      <w:proofErr w:type="spellStart"/>
      <w:r w:rsidRPr="00D8620E">
        <w:rPr>
          <w:rFonts w:ascii="Times New Roman" w:hAnsi="Times New Roman"/>
          <w:sz w:val="24"/>
          <w:szCs w:val="24"/>
        </w:rPr>
        <w:t>i</w:t>
      </w:r>
      <w:proofErr w:type="spellEnd"/>
      <w:r w:rsidRPr="00D8620E">
        <w:rPr>
          <w:rFonts w:ascii="Times New Roman" w:hAnsi="Times New Roman"/>
          <w:sz w:val="24"/>
          <w:szCs w:val="24"/>
        </w:rPr>
        <w:t xml:space="preserve">) </w:t>
      </w:r>
      <w:r w:rsidRPr="00D8620E">
        <w:rPr>
          <w:rFonts w:ascii="Times New Roman" w:hAnsi="Times New Roman"/>
          <w:sz w:val="24"/>
          <w:szCs w:val="24"/>
          <w:lang w:val="nl-NL"/>
        </w:rPr>
        <w:t xml:space="preserve">Thông tin về việc chia, tách đơn vị </w:t>
      </w:r>
      <w:r w:rsidR="00BC38CC" w:rsidRPr="00D8620E">
        <w:rPr>
          <w:rFonts w:ascii="Times New Roman" w:hAnsi="Times New Roman"/>
          <w:sz w:val="24"/>
          <w:szCs w:val="24"/>
          <w:lang w:val="nl-NL"/>
        </w:rPr>
        <w:t>q</w:t>
      </w:r>
      <w:r w:rsidRPr="00D8620E">
        <w:rPr>
          <w:rFonts w:ascii="Times New Roman" w:hAnsi="Times New Roman"/>
          <w:sz w:val="24"/>
          <w:szCs w:val="24"/>
          <w:lang w:val="nl-NL"/>
        </w:rPr>
        <w:t xml:space="preserve">uỹ trong kỳ (nếu có); ảnh hưởng của việc chia tách đơn vị </w:t>
      </w:r>
      <w:r w:rsidR="00BC38CC" w:rsidRPr="00D8620E">
        <w:rPr>
          <w:rFonts w:ascii="Times New Roman" w:hAnsi="Times New Roman"/>
          <w:sz w:val="24"/>
          <w:szCs w:val="24"/>
          <w:lang w:val="nl-NL"/>
        </w:rPr>
        <w:t>q</w:t>
      </w:r>
      <w:r w:rsidRPr="00D8620E">
        <w:rPr>
          <w:rFonts w:ascii="Times New Roman" w:hAnsi="Times New Roman"/>
          <w:sz w:val="24"/>
          <w:szCs w:val="24"/>
          <w:lang w:val="nl-NL"/>
        </w:rPr>
        <w:t xml:space="preserve">uỹ và giá trị tài sản ròng trên từng đơn vị </w:t>
      </w:r>
      <w:r w:rsidR="00BC38CC" w:rsidRPr="00D8620E">
        <w:rPr>
          <w:rFonts w:ascii="Times New Roman" w:hAnsi="Times New Roman"/>
          <w:sz w:val="24"/>
          <w:szCs w:val="24"/>
          <w:lang w:val="nl-NL"/>
        </w:rPr>
        <w:t>q</w:t>
      </w:r>
      <w:r w:rsidRPr="00D8620E">
        <w:rPr>
          <w:rFonts w:ascii="Times New Roman" w:hAnsi="Times New Roman"/>
          <w:sz w:val="24"/>
          <w:szCs w:val="24"/>
          <w:lang w:val="nl-NL"/>
        </w:rPr>
        <w:t>uỹ (trước và sau khi chia, tách)</w:t>
      </w:r>
      <w:r w:rsidR="003A0280" w:rsidRPr="00D8620E">
        <w:rPr>
          <w:rFonts w:ascii="Times New Roman" w:hAnsi="Times New Roman"/>
          <w:sz w:val="24"/>
          <w:szCs w:val="24"/>
          <w:lang w:val="nl-NL"/>
        </w:rPr>
        <w:t xml:space="preserve">: </w:t>
      </w:r>
      <w:r w:rsidR="003A0280" w:rsidRPr="00D8620E">
        <w:rPr>
          <w:rFonts w:ascii="Times New Roman" w:hAnsi="Times New Roman"/>
          <w:i/>
          <w:sz w:val="24"/>
          <w:szCs w:val="24"/>
          <w:lang w:val="nl-NL"/>
        </w:rPr>
        <w:t>Quỹ không thực hiện chia tách đơn vị quỹ trong kỳ</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D8620E">
        <w:rPr>
          <w:rFonts w:ascii="Times New Roman" w:hAnsi="Times New Roman"/>
          <w:sz w:val="24"/>
          <w:szCs w:val="24"/>
          <w:lang w:val="nl-NL"/>
        </w:rPr>
        <w:t>k) Các trường hợp có ảnh hưởng tới quyền lợi của nhà đầu tư nắm giữ chứng chỉ quỹ</w:t>
      </w:r>
      <w:r w:rsidR="00B27B45" w:rsidRPr="00D8620E">
        <w:rPr>
          <w:rFonts w:ascii="Times New Roman" w:hAnsi="Times New Roman"/>
          <w:sz w:val="24"/>
          <w:szCs w:val="24"/>
          <w:lang w:val="nl-NL"/>
        </w:rPr>
        <w:t>:</w:t>
      </w:r>
    </w:p>
    <w:p w:rsidR="00B27B45" w:rsidRPr="00D8620E"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D8620E">
        <w:rPr>
          <w:rFonts w:ascii="Times New Roman" w:hAnsi="Times New Roman"/>
          <w:sz w:val="24"/>
          <w:szCs w:val="24"/>
          <w:lang w:val="nl-NL"/>
        </w:rPr>
        <w:t>Quyền lợi của Nhà đầu tư nắm giữ chứng chỉ quỹ như theo quy định tại Điều lệ quỹ và Bản Cáo bạch.</w:t>
      </w:r>
    </w:p>
    <w:p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D8620E">
        <w:rPr>
          <w:rFonts w:ascii="Times New Roman" w:hAnsi="Times New Roman"/>
          <w:sz w:val="24"/>
          <w:szCs w:val="24"/>
          <w:lang w:val="nl-NL"/>
        </w:rPr>
        <w:t>l) Thông tin về các giao dịch với người có quyền lợi liên quan</w:t>
      </w:r>
      <w:r w:rsidR="00B27B45" w:rsidRPr="00D8620E">
        <w:rPr>
          <w:rFonts w:ascii="Times New Roman" w:hAnsi="Times New Roman"/>
          <w:sz w:val="24"/>
          <w:szCs w:val="24"/>
          <w:lang w:val="nl-NL"/>
        </w:rPr>
        <w:t>:</w:t>
      </w:r>
      <w:r w:rsidRPr="00D8620E">
        <w:rPr>
          <w:rFonts w:ascii="Times New Roman" w:hAnsi="Times New Roman"/>
          <w:sz w:val="24"/>
          <w:szCs w:val="24"/>
          <w:lang w:val="nl-NL"/>
        </w:rPr>
        <w:t xml:space="preserve"> </w:t>
      </w:r>
    </w:p>
    <w:p w:rsidR="00B27B45" w:rsidRPr="00D8620E"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D8620E">
        <w:rPr>
          <w:rFonts w:ascii="Times New Roman" w:hAnsi="Times New Roman"/>
          <w:sz w:val="24"/>
          <w:szCs w:val="24"/>
          <w:lang w:val="nl-NL"/>
        </w:rPr>
        <w:t xml:space="preserve">Quỹ </w:t>
      </w:r>
      <w:r w:rsidR="00E265CF" w:rsidRPr="00D8620E">
        <w:rPr>
          <w:rFonts w:ascii="Times New Roman" w:hAnsi="Times New Roman"/>
          <w:sz w:val="24"/>
          <w:szCs w:val="24"/>
          <w:lang w:val="nl-NL"/>
        </w:rPr>
        <w:t xml:space="preserve">không </w:t>
      </w:r>
      <w:r w:rsidR="00803D05" w:rsidRPr="00D8620E">
        <w:rPr>
          <w:rFonts w:ascii="Times New Roman" w:hAnsi="Times New Roman"/>
          <w:sz w:val="24"/>
          <w:szCs w:val="24"/>
          <w:lang w:val="nl-NL"/>
        </w:rPr>
        <w:t>có</w:t>
      </w:r>
      <w:r w:rsidR="00E265CF" w:rsidRPr="00D8620E">
        <w:rPr>
          <w:rFonts w:ascii="Times New Roman" w:hAnsi="Times New Roman"/>
          <w:sz w:val="24"/>
          <w:szCs w:val="24"/>
          <w:lang w:val="nl-NL"/>
        </w:rPr>
        <w:t xml:space="preserve"> thực hiện </w:t>
      </w:r>
      <w:r w:rsidR="00E20EFB" w:rsidRPr="00D8620E">
        <w:rPr>
          <w:rFonts w:ascii="Times New Roman" w:hAnsi="Times New Roman"/>
          <w:sz w:val="24"/>
          <w:szCs w:val="24"/>
          <w:lang w:val="nl-NL"/>
        </w:rPr>
        <w:t xml:space="preserve">hoạt động đầu tư, </w:t>
      </w:r>
      <w:r w:rsidR="00E265CF" w:rsidRPr="00D8620E">
        <w:rPr>
          <w:rFonts w:ascii="Times New Roman" w:hAnsi="Times New Roman"/>
          <w:sz w:val="24"/>
          <w:szCs w:val="24"/>
          <w:lang w:val="nl-NL"/>
        </w:rPr>
        <w:t>giao dịch tài sản</w:t>
      </w:r>
      <w:r w:rsidR="00E20EFB" w:rsidRPr="00D8620E">
        <w:rPr>
          <w:rFonts w:ascii="Times New Roman" w:hAnsi="Times New Roman"/>
          <w:sz w:val="24"/>
          <w:szCs w:val="24"/>
          <w:lang w:val="nl-NL"/>
        </w:rPr>
        <w:t xml:space="preserve"> giữa Quỹ với </w:t>
      </w:r>
      <w:r w:rsidR="00B82976" w:rsidRPr="00D8620E">
        <w:rPr>
          <w:rFonts w:ascii="Times New Roman" w:hAnsi="Times New Roman"/>
          <w:sz w:val="24"/>
          <w:szCs w:val="24"/>
          <w:lang w:val="nl-NL"/>
        </w:rPr>
        <w:t>C</w:t>
      </w:r>
      <w:r w:rsidR="00E20EFB" w:rsidRPr="00D8620E">
        <w:rPr>
          <w:rFonts w:ascii="Times New Roman" w:hAnsi="Times New Roman"/>
          <w:sz w:val="24"/>
          <w:szCs w:val="24"/>
          <w:lang w:val="nl-NL"/>
        </w:rPr>
        <w:t xml:space="preserve">ông ty </w:t>
      </w:r>
      <w:r w:rsidR="00B82976" w:rsidRPr="00D8620E">
        <w:rPr>
          <w:rFonts w:ascii="Times New Roman" w:hAnsi="Times New Roman"/>
          <w:sz w:val="24"/>
          <w:szCs w:val="24"/>
          <w:lang w:val="nl-NL"/>
        </w:rPr>
        <w:t>Q</w:t>
      </w:r>
      <w:r w:rsidR="00E20EFB" w:rsidRPr="00D8620E">
        <w:rPr>
          <w:rFonts w:ascii="Times New Roman" w:hAnsi="Times New Roman"/>
          <w:sz w:val="24"/>
          <w:szCs w:val="24"/>
          <w:lang w:val="nl-NL"/>
        </w:rPr>
        <w:t xml:space="preserve">uản lý </w:t>
      </w:r>
      <w:r w:rsidR="00B82976" w:rsidRPr="00D8620E">
        <w:rPr>
          <w:rFonts w:ascii="Times New Roman" w:hAnsi="Times New Roman"/>
          <w:sz w:val="24"/>
          <w:szCs w:val="24"/>
          <w:lang w:val="nl-NL"/>
        </w:rPr>
        <w:t>Q</w:t>
      </w:r>
      <w:r w:rsidR="00E20EFB" w:rsidRPr="00D8620E">
        <w:rPr>
          <w:rFonts w:ascii="Times New Roman" w:hAnsi="Times New Roman"/>
          <w:sz w:val="24"/>
          <w:szCs w:val="24"/>
          <w:lang w:val="nl-NL"/>
        </w:rPr>
        <w:t xml:space="preserve">uỹ và người có quyền lợi liên quan; ngoại trừ giao dịch Chứng chỉ Quỹ của người nội bộ và người có liên quan của người nội bộ như đã được công bố thông tin, báo cáo Ủy ban Chứng khoán Nhà nước, các khoản chi phí phù hợp với quy định tại Điều lệ Quỹ, Bản Cáo bạch.   </w:t>
      </w:r>
    </w:p>
    <w:p w:rsidR="003B5D8B" w:rsidRPr="00D8620E" w:rsidRDefault="003B5D8B" w:rsidP="004352B7">
      <w:pPr>
        <w:spacing w:before="120" w:after="120" w:line="360" w:lineRule="auto"/>
        <w:jc w:val="both"/>
        <w:rPr>
          <w:rFonts w:ascii="Times New Roman" w:hAnsi="Times New Roman"/>
          <w:b/>
          <w:color w:val="000000"/>
          <w:sz w:val="24"/>
          <w:szCs w:val="24"/>
        </w:rPr>
      </w:pPr>
      <w:r w:rsidRPr="00D8620E">
        <w:rPr>
          <w:rFonts w:ascii="Times New Roman" w:hAnsi="Times New Roman"/>
          <w:b/>
          <w:sz w:val="24"/>
          <w:szCs w:val="24"/>
          <w:lang w:val="nl-NL"/>
        </w:rPr>
        <w:lastRenderedPageBreak/>
        <w:t xml:space="preserve">4. </w:t>
      </w:r>
      <w:r w:rsidR="00100534" w:rsidRPr="00D8620E">
        <w:rPr>
          <w:rFonts w:ascii="Times New Roman" w:hAnsi="Times New Roman"/>
          <w:b/>
          <w:sz w:val="24"/>
          <w:szCs w:val="24"/>
          <w:lang w:val="nl-NL"/>
        </w:rPr>
        <w:t>Báo cáo về hoạt động giám sát của Ngân hàng giám sát</w:t>
      </w:r>
      <w:r w:rsidRPr="00D8620E">
        <w:rPr>
          <w:rFonts w:ascii="Times New Roman" w:hAnsi="Times New Roman"/>
          <w:b/>
          <w:sz w:val="24"/>
          <w:szCs w:val="24"/>
          <w:lang w:val="nl-NL"/>
        </w:rPr>
        <w:t xml:space="preserve"> </w:t>
      </w:r>
      <w:proofErr w:type="spellStart"/>
      <w:r w:rsidRPr="00D8620E">
        <w:rPr>
          <w:rFonts w:ascii="Times New Roman" w:hAnsi="Times New Roman"/>
          <w:b/>
          <w:color w:val="000000"/>
          <w:sz w:val="24"/>
          <w:szCs w:val="24"/>
        </w:rPr>
        <w:t>cho</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giai</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đoạn</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từ</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ngày</w:t>
      </w:r>
      <w:proofErr w:type="spellEnd"/>
      <w:r w:rsidRPr="00D8620E">
        <w:rPr>
          <w:rFonts w:ascii="Times New Roman" w:hAnsi="Times New Roman"/>
          <w:b/>
          <w:color w:val="000000"/>
          <w:sz w:val="24"/>
          <w:szCs w:val="24"/>
        </w:rPr>
        <w:t xml:space="preserve"> 03/01/2019 (</w:t>
      </w:r>
      <w:proofErr w:type="spellStart"/>
      <w:r w:rsidRPr="00D8620E">
        <w:rPr>
          <w:rFonts w:ascii="Times New Roman" w:hAnsi="Times New Roman"/>
          <w:b/>
          <w:color w:val="000000"/>
          <w:sz w:val="24"/>
          <w:szCs w:val="24"/>
        </w:rPr>
        <w:t>ngày</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thành</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lập</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Quỹ</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đến</w:t>
      </w:r>
      <w:proofErr w:type="spellEnd"/>
      <w:r w:rsidRPr="00D8620E">
        <w:rPr>
          <w:rFonts w:ascii="Times New Roman" w:hAnsi="Times New Roman"/>
          <w:b/>
          <w:color w:val="000000"/>
          <w:sz w:val="24"/>
          <w:szCs w:val="24"/>
        </w:rPr>
        <w:t xml:space="preserve"> </w:t>
      </w:r>
      <w:proofErr w:type="spellStart"/>
      <w:r w:rsidRPr="00D8620E">
        <w:rPr>
          <w:rFonts w:ascii="Times New Roman" w:hAnsi="Times New Roman"/>
          <w:b/>
          <w:color w:val="000000"/>
          <w:sz w:val="24"/>
          <w:szCs w:val="24"/>
        </w:rPr>
        <w:t>ngày</w:t>
      </w:r>
      <w:proofErr w:type="spellEnd"/>
      <w:r w:rsidRPr="00D8620E">
        <w:rPr>
          <w:rFonts w:ascii="Times New Roman" w:hAnsi="Times New Roman"/>
          <w:b/>
          <w:color w:val="000000"/>
          <w:sz w:val="24"/>
          <w:szCs w:val="24"/>
        </w:rPr>
        <w:t xml:space="preserve"> </w:t>
      </w:r>
      <w:r w:rsidR="00E737D0" w:rsidRPr="00D8620E">
        <w:rPr>
          <w:rFonts w:ascii="Times New Roman" w:hAnsi="Times New Roman"/>
          <w:b/>
          <w:color w:val="000000"/>
          <w:sz w:val="24"/>
          <w:szCs w:val="24"/>
        </w:rPr>
        <w:t>31</w:t>
      </w:r>
      <w:r w:rsidRPr="00D8620E">
        <w:rPr>
          <w:rFonts w:ascii="Times New Roman" w:hAnsi="Times New Roman"/>
          <w:b/>
          <w:color w:val="000000"/>
          <w:sz w:val="24"/>
          <w:szCs w:val="24"/>
        </w:rPr>
        <w:t>/</w:t>
      </w:r>
      <w:r w:rsidR="00E737D0" w:rsidRPr="00D8620E">
        <w:rPr>
          <w:rFonts w:ascii="Times New Roman" w:hAnsi="Times New Roman"/>
          <w:b/>
          <w:color w:val="000000"/>
          <w:sz w:val="24"/>
          <w:szCs w:val="24"/>
        </w:rPr>
        <w:t>12</w:t>
      </w:r>
      <w:r w:rsidRPr="00D8620E">
        <w:rPr>
          <w:rFonts w:ascii="Times New Roman" w:hAnsi="Times New Roman"/>
          <w:b/>
          <w:color w:val="000000"/>
          <w:sz w:val="24"/>
          <w:szCs w:val="24"/>
        </w:rPr>
        <w:t>/2019:</w:t>
      </w:r>
    </w:p>
    <w:p w:rsidR="00E842A8" w:rsidRPr="00D8620E" w:rsidRDefault="003B5D8B"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 </w:t>
      </w:r>
      <w:r w:rsidR="00E842A8" w:rsidRPr="00D8620E">
        <w:rPr>
          <w:rFonts w:ascii="Times New Roman" w:hAnsi="Times New Roman"/>
          <w:sz w:val="24"/>
          <w:szCs w:val="24"/>
          <w:lang w:val="nl-NL"/>
        </w:rPr>
        <w:t xml:space="preserve">Công ty Quản lý Quỹ </w:t>
      </w:r>
      <w:r w:rsidR="00E842A8" w:rsidRPr="00D8620E">
        <w:rPr>
          <w:rFonts w:ascii="Times New Roman" w:hAnsi="Times New Roman"/>
          <w:sz w:val="24"/>
          <w:szCs w:val="24"/>
        </w:rPr>
        <w:t xml:space="preserve">vi </w:t>
      </w:r>
      <w:proofErr w:type="spellStart"/>
      <w:r w:rsidR="00E842A8" w:rsidRPr="00D8620E">
        <w:rPr>
          <w:rFonts w:ascii="Times New Roman" w:hAnsi="Times New Roman"/>
          <w:sz w:val="24"/>
          <w:szCs w:val="24"/>
        </w:rPr>
        <w:t>phạm</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các</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quy</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định</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tại</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Khoản</w:t>
      </w:r>
      <w:proofErr w:type="spellEnd"/>
      <w:r w:rsidR="00E842A8" w:rsidRPr="00D8620E">
        <w:rPr>
          <w:rFonts w:ascii="Times New Roman" w:hAnsi="Times New Roman"/>
          <w:sz w:val="24"/>
          <w:szCs w:val="24"/>
        </w:rPr>
        <w:t xml:space="preserve"> 1 </w:t>
      </w:r>
      <w:proofErr w:type="spellStart"/>
      <w:r w:rsidR="00E842A8" w:rsidRPr="00D8620E">
        <w:rPr>
          <w:rFonts w:ascii="Times New Roman" w:hAnsi="Times New Roman"/>
          <w:sz w:val="24"/>
          <w:szCs w:val="24"/>
        </w:rPr>
        <w:t>Điều</w:t>
      </w:r>
      <w:proofErr w:type="spellEnd"/>
      <w:r w:rsidR="00E842A8" w:rsidRPr="00D8620E">
        <w:rPr>
          <w:rFonts w:ascii="Times New Roman" w:hAnsi="Times New Roman"/>
          <w:sz w:val="24"/>
          <w:szCs w:val="24"/>
        </w:rPr>
        <w:t xml:space="preserve"> 37 </w:t>
      </w:r>
      <w:proofErr w:type="spellStart"/>
      <w:r w:rsidR="00E842A8" w:rsidRPr="00D8620E">
        <w:rPr>
          <w:rFonts w:ascii="Times New Roman" w:hAnsi="Times New Roman"/>
          <w:sz w:val="24"/>
          <w:szCs w:val="24"/>
        </w:rPr>
        <w:t>Thông</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tư</w:t>
      </w:r>
      <w:proofErr w:type="spellEnd"/>
      <w:r w:rsidR="00E842A8" w:rsidRPr="00D8620E">
        <w:rPr>
          <w:rFonts w:ascii="Times New Roman" w:hAnsi="Times New Roman"/>
          <w:sz w:val="24"/>
          <w:szCs w:val="24"/>
        </w:rPr>
        <w:t xml:space="preserve"> 183/2011/TT-BTC </w:t>
      </w:r>
      <w:proofErr w:type="spellStart"/>
      <w:r w:rsidR="00E842A8" w:rsidRPr="00D8620E">
        <w:rPr>
          <w:rFonts w:ascii="Times New Roman" w:hAnsi="Times New Roman"/>
          <w:sz w:val="24"/>
          <w:szCs w:val="24"/>
        </w:rPr>
        <w:t>ngày</w:t>
      </w:r>
      <w:proofErr w:type="spellEnd"/>
      <w:r w:rsidR="00E842A8" w:rsidRPr="00D8620E">
        <w:rPr>
          <w:rFonts w:ascii="Times New Roman" w:hAnsi="Times New Roman"/>
          <w:sz w:val="24"/>
          <w:szCs w:val="24"/>
        </w:rPr>
        <w:t xml:space="preserve"> 16/12/2011 </w:t>
      </w:r>
      <w:proofErr w:type="spellStart"/>
      <w:r w:rsidR="00E842A8" w:rsidRPr="00D8620E">
        <w:rPr>
          <w:rFonts w:ascii="Times New Roman" w:hAnsi="Times New Roman"/>
          <w:sz w:val="24"/>
          <w:szCs w:val="24"/>
        </w:rPr>
        <w:t>của</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Bộ</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Tài</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chính</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hướng</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dẫn</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về</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việc</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thành</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lập</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và</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quản</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lý</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quỹ</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mở</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và</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của</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Luật</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chứng</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sz w:val="24"/>
          <w:szCs w:val="24"/>
        </w:rPr>
        <w:t>khoán</w:t>
      </w:r>
      <w:proofErr w:type="spellEnd"/>
      <w:r w:rsidR="00E842A8" w:rsidRPr="00D8620E">
        <w:rPr>
          <w:rFonts w:ascii="Times New Roman" w:hAnsi="Times New Roman"/>
          <w:sz w:val="24"/>
          <w:szCs w:val="24"/>
        </w:rPr>
        <w:t xml:space="preserve">: </w:t>
      </w:r>
      <w:proofErr w:type="spellStart"/>
      <w:r w:rsidR="00E842A8" w:rsidRPr="00D8620E">
        <w:rPr>
          <w:rFonts w:ascii="Times New Roman" w:hAnsi="Times New Roman"/>
          <w:b/>
          <w:bCs/>
          <w:sz w:val="24"/>
          <w:szCs w:val="24"/>
        </w:rPr>
        <w:t>Không</w:t>
      </w:r>
      <w:proofErr w:type="spellEnd"/>
      <w:r w:rsidR="00E842A8" w:rsidRPr="00D8620E">
        <w:rPr>
          <w:rFonts w:ascii="Times New Roman" w:hAnsi="Times New Roman"/>
          <w:b/>
          <w:bCs/>
          <w:sz w:val="24"/>
          <w:szCs w:val="24"/>
        </w:rPr>
        <w:t xml:space="preserve"> </w:t>
      </w:r>
      <w:proofErr w:type="spellStart"/>
      <w:r w:rsidR="00E842A8" w:rsidRPr="00D8620E">
        <w:rPr>
          <w:rFonts w:ascii="Times New Roman" w:hAnsi="Times New Roman"/>
          <w:b/>
          <w:bCs/>
          <w:sz w:val="24"/>
          <w:szCs w:val="24"/>
        </w:rPr>
        <w:t>có</w:t>
      </w:r>
      <w:proofErr w:type="spellEnd"/>
    </w:p>
    <w:p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Công ty Quản lý Quỹ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(“CCQ”)</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
    <w:p w:rsidR="00E842A8" w:rsidRPr="00D8620E" w:rsidRDefault="00E842A8" w:rsidP="00C503F3">
      <w:pPr>
        <w:numPr>
          <w:ilvl w:val="3"/>
          <w:numId w:val="13"/>
        </w:numPr>
        <w:tabs>
          <w:tab w:val="left" w:pos="450"/>
        </w:tabs>
        <w:spacing w:before="120" w:after="120" w:line="360" w:lineRule="auto"/>
        <w:ind w:left="1276"/>
        <w:jc w:val="both"/>
        <w:rPr>
          <w:rFonts w:ascii="Times New Roman" w:hAnsi="Times New Roman"/>
          <w:sz w:val="24"/>
          <w:szCs w:val="24"/>
        </w:rPr>
      </w:pPr>
      <w:proofErr w:type="spellStart"/>
      <w:r w:rsidRPr="00D8620E">
        <w:rPr>
          <w:rFonts w:ascii="Times New Roman" w:hAnsi="Times New Roman"/>
          <w:sz w:val="24"/>
          <w:szCs w:val="24"/>
        </w:rPr>
        <w:t>Đối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20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16/12/2011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rsidR="00E842A8" w:rsidRPr="00D8620E" w:rsidRDefault="00E842A8" w:rsidP="00C503F3">
      <w:pPr>
        <w:numPr>
          <w:ilvl w:val="3"/>
          <w:numId w:val="13"/>
        </w:numPr>
        <w:tabs>
          <w:tab w:val="left" w:pos="450"/>
        </w:tabs>
        <w:spacing w:before="120" w:after="120" w:line="360" w:lineRule="auto"/>
        <w:ind w:left="1276"/>
        <w:jc w:val="both"/>
        <w:rPr>
          <w:rFonts w:ascii="Times New Roman" w:hAnsi="Times New Roman"/>
          <w:sz w:val="24"/>
          <w:szCs w:val="24"/>
        </w:rPr>
      </w:pPr>
      <w:proofErr w:type="spellStart"/>
      <w:r w:rsidRPr="00D8620E">
        <w:rPr>
          <w:rFonts w:ascii="Times New Roman" w:hAnsi="Times New Roman"/>
          <w:sz w:val="24"/>
          <w:szCs w:val="24"/>
        </w:rPr>
        <w:t>Đối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nhỏ</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bồi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r w:rsidRPr="00D8620E">
        <w:rPr>
          <w:rFonts w:ascii="Times New Roman" w:hAnsi="Times New Roman"/>
          <w:b/>
          <w:bCs/>
          <w:sz w:val="24"/>
          <w:szCs w:val="24"/>
          <w:lang w:val="nl-NL"/>
        </w:rPr>
        <w:t>Không có</w:t>
      </w:r>
    </w:p>
    <w:p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Công ty Quản lý Quỹ </w:t>
      </w:r>
      <w:r w:rsidRPr="00D8620E">
        <w:rPr>
          <w:rFonts w:ascii="Times New Roman" w:hAnsi="Times New Roman"/>
          <w:sz w:val="24"/>
          <w:szCs w:val="24"/>
        </w:rPr>
        <w:t xml:space="preserve">vi </w:t>
      </w:r>
      <w:proofErr w:type="spellStart"/>
      <w:r w:rsidRPr="00D8620E">
        <w:rPr>
          <w:rFonts w:ascii="Times New Roman" w:hAnsi="Times New Roman"/>
          <w:sz w:val="24"/>
          <w:szCs w:val="24"/>
        </w:rPr>
        <w:t>phạm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92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15, 16, 17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16/12/2011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sửa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bởi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9, 10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15/2016/TT-BTC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20/01/2016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sửa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sung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15/2016/TT-BTC”)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11, 12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15/2016/TT-BTC: </w:t>
      </w:r>
      <w:proofErr w:type="spellStart"/>
      <w:r w:rsidR="00AF33F0" w:rsidRPr="00D8620E">
        <w:rPr>
          <w:rFonts w:ascii="Times New Roman" w:hAnsi="Times New Roman"/>
          <w:b/>
          <w:bCs/>
          <w:sz w:val="24"/>
          <w:szCs w:val="24"/>
        </w:rPr>
        <w:t>K</w:t>
      </w:r>
      <w:r w:rsidRPr="00D8620E">
        <w:rPr>
          <w:rFonts w:ascii="Times New Roman" w:hAnsi="Times New Roman"/>
          <w:b/>
          <w:bCs/>
          <w:sz w:val="24"/>
          <w:szCs w:val="24"/>
        </w:rPr>
        <w:t>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Công ty Quản lý Quỹ vi phạm các quy định về phân phối chứng chỉ quỹ (ngoại trừ quy định tại điểm a khoản 1 Điều 11 và khoản 2 Điều 12 Thông tư số 183/2011/TT-BTC ngày 16/12/2011 của Bộ Tài chính hướng dẫn về việc thành lập và quản lý quỹ mở) ):</w:t>
      </w:r>
      <w:r w:rsidRPr="00D8620E">
        <w:rPr>
          <w:rFonts w:ascii="Times New Roman" w:hAnsi="Times New Roman"/>
          <w:sz w:val="24"/>
          <w:szCs w:val="24"/>
        </w:rPr>
        <w:t xml:space="preserve"> </w:t>
      </w:r>
      <w:proofErr w:type="spellStart"/>
      <w:r w:rsidR="00AF33F0" w:rsidRPr="00D8620E">
        <w:rPr>
          <w:rFonts w:ascii="Times New Roman" w:hAnsi="Times New Roman"/>
          <w:b/>
          <w:bCs/>
          <w:sz w:val="24"/>
          <w:szCs w:val="24"/>
        </w:rPr>
        <w:t>K</w:t>
      </w:r>
      <w:r w:rsidRPr="00D8620E">
        <w:rPr>
          <w:rFonts w:ascii="Times New Roman" w:hAnsi="Times New Roman"/>
          <w:b/>
          <w:bCs/>
          <w:sz w:val="24"/>
          <w:szCs w:val="24"/>
        </w:rPr>
        <w:t>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rsidR="00E842A8" w:rsidRPr="00D8620E" w:rsidRDefault="00E842A8" w:rsidP="00E842A8">
      <w:pPr>
        <w:tabs>
          <w:tab w:val="left" w:pos="450"/>
        </w:tabs>
        <w:spacing w:before="120" w:after="120" w:line="360" w:lineRule="auto"/>
        <w:ind w:left="450"/>
        <w:jc w:val="both"/>
        <w:rPr>
          <w:rFonts w:ascii="Times New Roman" w:hAnsi="Times New Roman"/>
          <w:sz w:val="24"/>
          <w:szCs w:val="24"/>
        </w:rPr>
      </w:pPr>
      <w:r w:rsidRPr="00D8620E">
        <w:rPr>
          <w:rFonts w:ascii="Times New Roman" w:hAnsi="Times New Roman"/>
          <w:sz w:val="24"/>
          <w:szCs w:val="24"/>
          <w:lang w:val="nl-NL"/>
        </w:rPr>
        <w:t>Chi tiết về phân phối chứng chỉ Quỹ:</w:t>
      </w:r>
    </w:p>
    <w:p w:rsidR="00E842A8" w:rsidRPr="00D8620E" w:rsidRDefault="00E842A8" w:rsidP="00E842A8">
      <w:pPr>
        <w:tabs>
          <w:tab w:val="left" w:pos="6120"/>
        </w:tabs>
        <w:spacing w:before="120" w:after="120"/>
        <w:ind w:left="450"/>
        <w:jc w:val="both"/>
        <w:rPr>
          <w:rFonts w:ascii="Times New Roman" w:hAnsi="Times New Roman"/>
          <w:sz w:val="24"/>
          <w:szCs w:val="24"/>
          <w:lang w:val="nl-NL"/>
        </w:rPr>
      </w:pPr>
      <w:r w:rsidRPr="00D8620E">
        <w:rPr>
          <w:rFonts w:ascii="Times New Roman" w:hAnsi="Times New Roman"/>
          <w:sz w:val="24"/>
          <w:szCs w:val="24"/>
          <w:lang w:val="nl-NL"/>
        </w:rPr>
        <w:t>Tổng số chứng chỉ Quỹ tại ngày kết thúc IPO và theo giấy phép của Quỹ: 7.512.160 CCQ</w:t>
      </w:r>
    </w:p>
    <w:p w:rsidR="00E842A8" w:rsidRPr="00D8620E" w:rsidRDefault="00E842A8" w:rsidP="00E842A8">
      <w:pPr>
        <w:tabs>
          <w:tab w:val="left" w:pos="6120"/>
        </w:tabs>
        <w:spacing w:before="120" w:after="120"/>
        <w:ind w:left="450"/>
        <w:jc w:val="both"/>
        <w:rPr>
          <w:rFonts w:ascii="Times New Roman" w:hAnsi="Times New Roman"/>
          <w:sz w:val="24"/>
          <w:szCs w:val="24"/>
          <w:lang w:val="nl-NL"/>
        </w:rPr>
      </w:pPr>
      <w:r w:rsidRPr="00D8620E">
        <w:rPr>
          <w:rFonts w:ascii="Times New Roman" w:hAnsi="Times New Roman"/>
          <w:sz w:val="24"/>
          <w:szCs w:val="24"/>
          <w:lang w:val="nl-NL"/>
        </w:rPr>
        <w:t>Tổng số chứng Quỹ phát hành thêm trong kỳ</w:t>
      </w:r>
      <w:r w:rsidRPr="00D8620E">
        <w:rPr>
          <w:rFonts w:ascii="Times New Roman" w:hAnsi="Times New Roman"/>
          <w:sz w:val="24"/>
          <w:szCs w:val="24"/>
          <w:lang w:val="nl-NL"/>
        </w:rPr>
        <w:tab/>
        <w:t>: 458.295,89 CCQ</w:t>
      </w:r>
    </w:p>
    <w:p w:rsidR="00E842A8" w:rsidRPr="00D8620E" w:rsidRDefault="00E842A8" w:rsidP="00E842A8">
      <w:pPr>
        <w:tabs>
          <w:tab w:val="left" w:pos="6120"/>
        </w:tabs>
        <w:spacing w:after="0"/>
        <w:ind w:left="446"/>
        <w:jc w:val="both"/>
        <w:rPr>
          <w:rFonts w:ascii="Times New Roman" w:hAnsi="Times New Roman"/>
          <w:sz w:val="24"/>
          <w:szCs w:val="24"/>
          <w:lang w:val="nl-NL"/>
        </w:rPr>
      </w:pPr>
      <w:r w:rsidRPr="00D8620E">
        <w:rPr>
          <w:rFonts w:ascii="Times New Roman" w:hAnsi="Times New Roman"/>
          <w:sz w:val="24"/>
          <w:szCs w:val="24"/>
          <w:lang w:val="nl-NL"/>
        </w:rPr>
        <w:t>Tổng số chứng Quỹ mua lại trong kỳ</w:t>
      </w:r>
      <w:r w:rsidRPr="00D8620E">
        <w:rPr>
          <w:rFonts w:ascii="Times New Roman" w:hAnsi="Times New Roman"/>
          <w:sz w:val="24"/>
          <w:szCs w:val="24"/>
          <w:lang w:val="nl-NL"/>
        </w:rPr>
        <w:tab/>
        <w:t>: 222.875,40 CCQ</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tblGrid>
      <w:tr w:rsidR="00E842A8" w:rsidRPr="00D8620E" w:rsidTr="008E6D65">
        <w:trPr>
          <w:tblCellSpacing w:w="15" w:type="dxa"/>
        </w:trPr>
        <w:tc>
          <w:tcPr>
            <w:tcW w:w="9075" w:type="dxa"/>
            <w:hideMark/>
          </w:tcPr>
          <w:p w:rsidR="00E842A8" w:rsidRPr="00D8620E" w:rsidRDefault="00E842A8" w:rsidP="008E6D65">
            <w:pPr>
              <w:tabs>
                <w:tab w:val="left" w:pos="6120"/>
              </w:tabs>
              <w:spacing w:before="120" w:after="120"/>
              <w:ind w:left="450"/>
              <w:jc w:val="both"/>
              <w:rPr>
                <w:rFonts w:ascii="Times New Roman" w:hAnsi="Times New Roman"/>
                <w:sz w:val="24"/>
                <w:szCs w:val="24"/>
                <w:lang w:val="nl-NL"/>
              </w:rPr>
            </w:pPr>
            <w:r w:rsidRPr="00D8620E">
              <w:rPr>
                <w:rFonts w:ascii="Times New Roman" w:hAnsi="Times New Roman"/>
                <w:sz w:val="24"/>
                <w:szCs w:val="24"/>
                <w:lang w:val="nl-NL"/>
              </w:rPr>
              <w:t>Tổng số chứng chỉ Quỹ tại cuối ngày 31/12/2019</w:t>
            </w:r>
            <w:r w:rsidRPr="00D8620E">
              <w:rPr>
                <w:rFonts w:ascii="Times New Roman" w:hAnsi="Times New Roman"/>
                <w:sz w:val="24"/>
                <w:szCs w:val="24"/>
                <w:lang w:val="nl-NL"/>
              </w:rPr>
              <w:tab/>
              <w:t>: 7.747.580,49 CCQ</w:t>
            </w:r>
          </w:p>
        </w:tc>
      </w:tr>
    </w:tbl>
    <w:p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b/>
          <w:bCs/>
          <w:sz w:val="24"/>
          <w:szCs w:val="24"/>
        </w:rPr>
      </w:pP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vi </w:t>
      </w:r>
      <w:proofErr w:type="spellStart"/>
      <w:r w:rsidRPr="00D8620E">
        <w:rPr>
          <w:rFonts w:ascii="Times New Roman" w:hAnsi="Times New Roman"/>
          <w:sz w:val="24"/>
          <w:szCs w:val="24"/>
        </w:rPr>
        <w:t>phạm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rsidR="00E842A8" w:rsidRPr="00D8620E" w:rsidRDefault="00E842A8" w:rsidP="00C503F3">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b/>
          <w:sz w:val="24"/>
          <w:szCs w:val="24"/>
        </w:rPr>
        <w:lastRenderedPageBreak/>
        <w:t xml:space="preserve">Sai </w:t>
      </w:r>
      <w:proofErr w:type="spellStart"/>
      <w:r w:rsidRPr="00D8620E">
        <w:rPr>
          <w:rFonts w:ascii="Times New Roman" w:hAnsi="Times New Roman"/>
          <w:b/>
          <w:sz w:val="24"/>
          <w:szCs w:val="24"/>
        </w:rPr>
        <w:t>lệch</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trong</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hạn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chế</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đầu</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tư</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của</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Quỹ</w:t>
      </w:r>
      <w:proofErr w:type="spellEnd"/>
      <w:r w:rsidRPr="00D8620E">
        <w:rPr>
          <w:rFonts w:ascii="Times New Roman" w:hAnsi="Times New Roman"/>
          <w:b/>
          <w:sz w:val="24"/>
          <w:szCs w:val="24"/>
        </w:rPr>
        <w:t xml:space="preserve"> DFVN-CAF:</w:t>
      </w:r>
    </w:p>
    <w:p w:rsidR="00E842A8" w:rsidRPr="00D8620E" w:rsidRDefault="00E842A8" w:rsidP="00E842A8">
      <w:pPr>
        <w:tabs>
          <w:tab w:val="left" w:pos="450"/>
        </w:tabs>
        <w:spacing w:before="120" w:after="120" w:line="360" w:lineRule="auto"/>
        <w:ind w:left="450"/>
        <w:jc w:val="both"/>
        <w:rPr>
          <w:rFonts w:ascii="Times New Roman" w:hAnsi="Times New Roman"/>
          <w:sz w:val="24"/>
          <w:szCs w:val="24"/>
        </w:rPr>
      </w:pPr>
      <w:r w:rsidRPr="00D8620E">
        <w:rPr>
          <w:rFonts w:ascii="Times New Roman" w:hAnsi="Times New Roman"/>
          <w:sz w:val="24"/>
          <w:szCs w:val="24"/>
        </w:rPr>
        <w:t xml:space="preserve">Theo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a,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9.1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10,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15/2016/TT-BTC : </w:t>
      </w:r>
      <w:r w:rsidRPr="00D8620E">
        <w:rPr>
          <w:rFonts w:ascii="Times New Roman" w:hAnsi="Times New Roman"/>
          <w:i/>
          <w:sz w:val="24"/>
          <w:szCs w:val="24"/>
        </w:rPr>
        <w:t>"</w:t>
      </w:r>
      <w:proofErr w:type="spellStart"/>
      <w:r w:rsidRPr="00D8620E">
        <w:rPr>
          <w:rFonts w:ascii="Times New Roman" w:hAnsi="Times New Roman"/>
          <w:i/>
          <w:sz w:val="24"/>
          <w:szCs w:val="24"/>
        </w:rPr>
        <w:t>Cơ</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cấu</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danh</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mục</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đầu</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tư</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của</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quỹ</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mở</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phải</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có</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chứng</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khoán</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của</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ít</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nhất</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sáu</w:t>
      </w:r>
      <w:proofErr w:type="spellEnd"/>
      <w:r w:rsidRPr="00D8620E">
        <w:rPr>
          <w:rFonts w:ascii="Times New Roman" w:hAnsi="Times New Roman"/>
          <w:i/>
          <w:sz w:val="24"/>
          <w:szCs w:val="24"/>
        </w:rPr>
        <w:t xml:space="preserve"> (06) </w:t>
      </w:r>
      <w:proofErr w:type="spellStart"/>
      <w:r w:rsidRPr="00D8620E">
        <w:rPr>
          <w:rFonts w:ascii="Times New Roman" w:hAnsi="Times New Roman"/>
          <w:i/>
          <w:sz w:val="24"/>
          <w:szCs w:val="24"/>
        </w:rPr>
        <w:t>tổ</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chức</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phát</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hành</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trừ</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trường</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hợp</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quỹ</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trái</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phiếu</w:t>
      </w:r>
      <w:proofErr w:type="spellEnd"/>
      <w:r w:rsidRPr="00D8620E">
        <w:rPr>
          <w:rFonts w:ascii="Times New Roman" w:hAnsi="Times New Roman"/>
          <w:i/>
          <w:sz w:val="24"/>
          <w:szCs w:val="24"/>
        </w:rPr>
        <w:t>"</w:t>
      </w:r>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8.4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r w:rsidRPr="00D8620E">
        <w:rPr>
          <w:rFonts w:ascii="Times New Roman" w:hAnsi="Times New Roman"/>
          <w:i/>
          <w:sz w:val="24"/>
          <w:szCs w:val="24"/>
        </w:rPr>
        <w:t>"</w:t>
      </w:r>
      <w:proofErr w:type="spellStart"/>
      <w:r w:rsidRPr="00D8620E">
        <w:rPr>
          <w:rFonts w:ascii="Times New Roman" w:hAnsi="Times New Roman"/>
          <w:i/>
          <w:sz w:val="24"/>
          <w:szCs w:val="24"/>
        </w:rPr>
        <w:t>Đầu</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tư</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vào</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cổ</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phiếu</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từ</w:t>
      </w:r>
      <w:proofErr w:type="spellEnd"/>
      <w:r w:rsidRPr="00D8620E">
        <w:rPr>
          <w:rFonts w:ascii="Times New Roman" w:hAnsi="Times New Roman"/>
          <w:i/>
          <w:sz w:val="24"/>
          <w:szCs w:val="24"/>
        </w:rPr>
        <w:t xml:space="preserve"> 50%-100% </w:t>
      </w:r>
      <w:proofErr w:type="spellStart"/>
      <w:r w:rsidRPr="00D8620E">
        <w:rPr>
          <w:rFonts w:ascii="Times New Roman" w:hAnsi="Times New Roman"/>
          <w:i/>
          <w:sz w:val="24"/>
          <w:szCs w:val="24"/>
        </w:rPr>
        <w:t>giá</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trị</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tài</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sản</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ròng</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của</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Quỹ</w:t>
      </w:r>
      <w:proofErr w:type="spellEnd"/>
      <w:r w:rsidRPr="00D8620E">
        <w:rPr>
          <w:rFonts w:ascii="Times New Roman" w:hAnsi="Times New Roman"/>
          <w:i/>
          <w:sz w:val="24"/>
          <w:szCs w:val="24"/>
        </w:rPr>
        <w:t>"</w:t>
      </w:r>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("GTTSR")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07/01/2019,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chưa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vì</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phép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03/01/2019;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07/01/2019 </w:t>
      </w:r>
      <w:proofErr w:type="spellStart"/>
      <w:r w:rsidRPr="00D8620E">
        <w:rPr>
          <w:rFonts w:ascii="Times New Roman" w:hAnsi="Times New Roman"/>
          <w:sz w:val="24"/>
          <w:szCs w:val="24"/>
        </w:rPr>
        <w:t>chưa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chưa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tỷ</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9.1a,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8.4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10,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tôi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gửi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CTQLQ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nghị</w:t>
      </w:r>
      <w:proofErr w:type="spellEnd"/>
      <w:r w:rsidRPr="00D8620E">
        <w:rPr>
          <w:rFonts w:ascii="Times New Roman" w:hAnsi="Times New Roman"/>
          <w:sz w:val="24"/>
          <w:szCs w:val="24"/>
        </w:rPr>
        <w:t xml:space="preserve"> CTQLQ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khắc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đảm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tuân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 Theo </w:t>
      </w:r>
      <w:proofErr w:type="spellStart"/>
      <w:r w:rsidRPr="00D8620E">
        <w:rPr>
          <w:rFonts w:ascii="Times New Roman" w:hAnsi="Times New Roman"/>
          <w:sz w:val="24"/>
          <w:szCs w:val="24"/>
        </w:rPr>
        <w:t>ghi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tôi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GTTSR </w:t>
      </w:r>
      <w:proofErr w:type="spellStart"/>
      <w:r w:rsidRPr="00D8620E">
        <w:rPr>
          <w:rFonts w:ascii="Times New Roman" w:hAnsi="Times New Roman"/>
          <w:sz w:val="24"/>
          <w:szCs w:val="24"/>
        </w:rPr>
        <w:t>kế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tiếp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14/01/2019,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sáu</w:t>
      </w:r>
      <w:proofErr w:type="spellEnd"/>
      <w:r w:rsidRPr="00D8620E">
        <w:rPr>
          <w:rFonts w:ascii="Times New Roman" w:hAnsi="Times New Roman"/>
          <w:sz w:val="24"/>
          <w:szCs w:val="24"/>
        </w:rPr>
        <w:t xml:space="preserve"> (06) </w:t>
      </w:r>
      <w:proofErr w:type="spellStart"/>
      <w:r w:rsidRPr="00D8620E">
        <w:rPr>
          <w:rFonts w:ascii="Times New Roman" w:hAnsi="Times New Roman"/>
          <w:sz w:val="24"/>
          <w:szCs w:val="24"/>
        </w:rPr>
        <w:t>tổ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tỷ</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65,65%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GTTSR, </w:t>
      </w:r>
      <w:proofErr w:type="spellStart"/>
      <w:r w:rsidRPr="00D8620E">
        <w:rPr>
          <w:rFonts w:ascii="Times New Roman" w:hAnsi="Times New Roman"/>
          <w:sz w:val="24"/>
          <w:szCs w:val="24"/>
        </w:rPr>
        <w:t>tuân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w:t>
      </w:r>
    </w:p>
    <w:p w:rsidR="00100534" w:rsidRPr="00D8620E" w:rsidRDefault="003B5D8B" w:rsidP="004352B7">
      <w:pPr>
        <w:tabs>
          <w:tab w:val="left" w:pos="426"/>
          <w:tab w:val="left" w:pos="1134"/>
        </w:tabs>
        <w:spacing w:before="120" w:after="120" w:line="300" w:lineRule="auto"/>
        <w:jc w:val="both"/>
        <w:rPr>
          <w:rFonts w:ascii="Times New Roman" w:hAnsi="Times New Roman"/>
          <w:b/>
          <w:sz w:val="24"/>
          <w:szCs w:val="24"/>
          <w:lang w:val="nl-NL"/>
        </w:rPr>
      </w:pPr>
      <w:r w:rsidRPr="00D8620E">
        <w:rPr>
          <w:rFonts w:ascii="Times New Roman" w:hAnsi="Times New Roman"/>
          <w:b/>
          <w:sz w:val="24"/>
          <w:szCs w:val="24"/>
          <w:lang w:val="nl-NL"/>
        </w:rPr>
        <w:t xml:space="preserve">5. </w:t>
      </w:r>
      <w:r w:rsidR="00100534" w:rsidRPr="00D8620E">
        <w:rPr>
          <w:rFonts w:ascii="Times New Roman" w:hAnsi="Times New Roman"/>
          <w:b/>
          <w:sz w:val="24"/>
          <w:szCs w:val="24"/>
          <w:lang w:val="nl-NL"/>
        </w:rPr>
        <w:t>Báo cáo về hoạt động ủy quyền</w:t>
      </w:r>
    </w:p>
    <w:p w:rsidR="00100534" w:rsidRPr="00D8620E" w:rsidRDefault="00100534" w:rsidP="004352B7">
      <w:pPr>
        <w:tabs>
          <w:tab w:val="left" w:pos="993"/>
        </w:tabs>
        <w:spacing w:before="120" w:after="120" w:line="312" w:lineRule="auto"/>
        <w:jc w:val="both"/>
        <w:rPr>
          <w:rFonts w:ascii="Times New Roman" w:hAnsi="Times New Roman"/>
          <w:sz w:val="24"/>
          <w:szCs w:val="24"/>
          <w:lang w:val="nl-NL"/>
        </w:rPr>
      </w:pPr>
      <w:r w:rsidRPr="00D8620E">
        <w:rPr>
          <w:rFonts w:ascii="Times New Roman" w:hAnsi="Times New Roman"/>
          <w:sz w:val="24"/>
          <w:szCs w:val="24"/>
          <w:lang w:val="nl-NL"/>
        </w:rPr>
        <w:t xml:space="preserve">a)  Chi phí phải trả cho bên nhận ủy quyền so với lợi nhuận, thu nhập, tổng chi phí hoạt động của </w:t>
      </w:r>
      <w:r w:rsidR="00B82976" w:rsidRPr="00D8620E">
        <w:rPr>
          <w:rFonts w:ascii="Times New Roman" w:hAnsi="Times New Roman"/>
          <w:sz w:val="24"/>
          <w:szCs w:val="24"/>
          <w:lang w:val="nl-NL"/>
        </w:rPr>
        <w:t>Q</w:t>
      </w:r>
      <w:r w:rsidRPr="00D8620E">
        <w:rPr>
          <w:rFonts w:ascii="Times New Roman" w:hAnsi="Times New Roman"/>
          <w:sz w:val="24"/>
          <w:szCs w:val="24"/>
          <w:lang w:val="nl-NL"/>
        </w:rPr>
        <w:t>uỹ</w:t>
      </w:r>
      <w:r w:rsidR="003A0280" w:rsidRPr="00D8620E">
        <w:rPr>
          <w:rFonts w:ascii="Times New Roman" w:hAnsi="Times New Roman"/>
          <w:sz w:val="24"/>
          <w:szCs w:val="24"/>
          <w:lang w:val="nl-NL"/>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1701"/>
        <w:gridCol w:w="1560"/>
        <w:gridCol w:w="2140"/>
      </w:tblGrid>
      <w:tr w:rsidR="003A0280" w:rsidRPr="00D8620E" w:rsidTr="00E250EA">
        <w:trPr>
          <w:trHeight w:val="660"/>
        </w:trPr>
        <w:tc>
          <w:tcPr>
            <w:tcW w:w="39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0280" w:rsidRPr="00D8620E" w:rsidRDefault="003A0280" w:rsidP="004F236F">
            <w:pPr>
              <w:spacing w:before="120" w:after="120" w:line="240" w:lineRule="auto"/>
              <w:jc w:val="center"/>
              <w:rPr>
                <w:rFonts w:ascii="Times New Roman" w:eastAsia="Times New Roman" w:hAnsi="Times New Roman"/>
                <w:b/>
                <w:sz w:val="24"/>
                <w:szCs w:val="24"/>
                <w:lang w:val="nl-NL"/>
              </w:rPr>
            </w:pPr>
            <w:r w:rsidRPr="00D8620E">
              <w:rPr>
                <w:rFonts w:ascii="Times New Roman" w:eastAsia="Times New Roman" w:hAnsi="Times New Roman"/>
                <w:b/>
                <w:sz w:val="24"/>
                <w:szCs w:val="24"/>
                <w:lang w:val="nl-NL"/>
              </w:rPr>
              <w:t>Chi phí phải trả cho bên nhận ủy quyền</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r w:rsidRPr="00D8620E">
              <w:rPr>
                <w:rFonts w:ascii="Times New Roman" w:eastAsia="Times New Roman" w:hAnsi="Times New Roman"/>
                <w:b/>
                <w:sz w:val="24"/>
                <w:szCs w:val="24"/>
              </w:rPr>
              <w:br/>
            </w:r>
            <w:proofErr w:type="spellStart"/>
            <w:r w:rsidRPr="00D8620E">
              <w:rPr>
                <w:rFonts w:ascii="Times New Roman" w:eastAsia="Times New Roman" w:hAnsi="Times New Roman"/>
                <w:b/>
                <w:sz w:val="24"/>
                <w:szCs w:val="24"/>
              </w:rPr>
              <w:t>lợi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nhuận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thu</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nhập</w:t>
            </w:r>
            <w:proofErr w:type="spellEnd"/>
          </w:p>
        </w:tc>
        <w:tc>
          <w:tcPr>
            <w:tcW w:w="21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Tổng</w:t>
            </w:r>
            <w:proofErr w:type="spellEnd"/>
            <w:r w:rsidRPr="00D8620E">
              <w:rPr>
                <w:rFonts w:ascii="Times New Roman" w:eastAsia="Times New Roman" w:hAnsi="Times New Roman"/>
                <w:b/>
                <w:sz w:val="24"/>
                <w:szCs w:val="24"/>
              </w:rPr>
              <w:t xml:space="preserve"> chi </w:t>
            </w:r>
            <w:proofErr w:type="spellStart"/>
            <w:r w:rsidRPr="00D8620E">
              <w:rPr>
                <w:rFonts w:ascii="Times New Roman" w:eastAsia="Times New Roman" w:hAnsi="Times New Roman"/>
                <w:b/>
                <w:sz w:val="24"/>
                <w:szCs w:val="24"/>
              </w:rPr>
              <w:t>phí</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hoạt</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động</w:t>
            </w:r>
            <w:proofErr w:type="spellEnd"/>
          </w:p>
        </w:tc>
      </w:tr>
      <w:tr w:rsidR="00E842A8" w:rsidRPr="00D8620E" w:rsidTr="00C503F3">
        <w:trPr>
          <w:trHeight w:val="494"/>
        </w:trPr>
        <w:tc>
          <w:tcPr>
            <w:tcW w:w="3959"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both"/>
              <w:rPr>
                <w:rFonts w:ascii="Times New Roman" w:eastAsia="Times New Roman" w:hAnsi="Times New Roman"/>
                <w:sz w:val="24"/>
                <w:szCs w:val="24"/>
              </w:rPr>
            </w:pPr>
            <w:proofErr w:type="spellStart"/>
            <w:r w:rsidRPr="00D8620E">
              <w:rPr>
                <w:rFonts w:ascii="Times New Roman" w:eastAsia="Times New Roman" w:hAnsi="Times New Roman"/>
                <w:sz w:val="24"/>
                <w:szCs w:val="24"/>
              </w:rPr>
              <w:t>Phí</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dịch</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vụ</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quản</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trị</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Quỹ</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mở</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4,47%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2,40%</w:t>
            </w:r>
          </w:p>
        </w:tc>
        <w:tc>
          <w:tcPr>
            <w:tcW w:w="2140"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5,18%</w:t>
            </w:r>
          </w:p>
        </w:tc>
      </w:tr>
      <w:tr w:rsidR="00E842A8" w:rsidRPr="00D8620E" w:rsidTr="00C503F3">
        <w:trPr>
          <w:trHeight w:val="449"/>
        </w:trPr>
        <w:tc>
          <w:tcPr>
            <w:tcW w:w="3959"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both"/>
              <w:rPr>
                <w:rFonts w:ascii="Times New Roman" w:eastAsia="Times New Roman" w:hAnsi="Times New Roman"/>
                <w:sz w:val="24"/>
                <w:szCs w:val="24"/>
              </w:rPr>
            </w:pPr>
            <w:proofErr w:type="spellStart"/>
            <w:r w:rsidRPr="00D8620E">
              <w:rPr>
                <w:rFonts w:ascii="Times New Roman" w:eastAsia="Times New Roman" w:hAnsi="Times New Roman"/>
                <w:sz w:val="24"/>
                <w:szCs w:val="24"/>
              </w:rPr>
              <w:t>Phí</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dịch</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vụ</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Đại</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lý</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chuyển</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nhượng</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7,36%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3,95%</w:t>
            </w:r>
          </w:p>
        </w:tc>
        <w:tc>
          <w:tcPr>
            <w:tcW w:w="2140"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color w:val="000000"/>
                <w:sz w:val="24"/>
                <w:szCs w:val="24"/>
              </w:rPr>
              <w:t>8,54%</w:t>
            </w:r>
          </w:p>
        </w:tc>
      </w:tr>
    </w:tbl>
    <w:p w:rsidR="00100534" w:rsidRPr="00D8620E" w:rsidRDefault="00100534" w:rsidP="004352B7">
      <w:pPr>
        <w:tabs>
          <w:tab w:val="left" w:pos="993"/>
        </w:tabs>
        <w:spacing w:before="120" w:after="120" w:line="312" w:lineRule="auto"/>
        <w:jc w:val="both"/>
        <w:rPr>
          <w:rFonts w:ascii="Times New Roman" w:hAnsi="Times New Roman"/>
          <w:b/>
          <w:sz w:val="24"/>
          <w:szCs w:val="24"/>
          <w:lang w:val="nl-NL"/>
        </w:rPr>
      </w:pPr>
      <w:r w:rsidRPr="00D8620E">
        <w:rPr>
          <w:rFonts w:ascii="Times New Roman" w:hAnsi="Times New Roman"/>
          <w:sz w:val="24"/>
          <w:szCs w:val="24"/>
          <w:lang w:val="nl-NL"/>
        </w:rPr>
        <w:t xml:space="preserve">b)  Các ảnh hưởng (nếu có) của hoạt động ủy quyền tới lợi nhuận, mức độ rủi ro của </w:t>
      </w:r>
      <w:r w:rsidR="00B82976" w:rsidRPr="00D8620E">
        <w:rPr>
          <w:rFonts w:ascii="Times New Roman" w:hAnsi="Times New Roman"/>
          <w:sz w:val="24"/>
          <w:szCs w:val="24"/>
          <w:lang w:val="nl-NL"/>
        </w:rPr>
        <w:t>Q</w:t>
      </w:r>
      <w:r w:rsidRPr="00D8620E">
        <w:rPr>
          <w:rFonts w:ascii="Times New Roman" w:hAnsi="Times New Roman"/>
          <w:sz w:val="24"/>
          <w:szCs w:val="24"/>
          <w:lang w:val="nl-NL"/>
        </w:rPr>
        <w:t>uỹ</w:t>
      </w:r>
      <w:r w:rsidR="003A0280" w:rsidRPr="00D8620E">
        <w:rPr>
          <w:rFonts w:ascii="Times New Roman" w:hAnsi="Times New Roman"/>
          <w:sz w:val="24"/>
          <w:szCs w:val="24"/>
          <w:lang w:val="nl-NL"/>
        </w:rPr>
        <w:t xml:space="preserve">: </w:t>
      </w:r>
      <w:r w:rsidR="00AC01E9" w:rsidRPr="00D8620E">
        <w:rPr>
          <w:rFonts w:ascii="Times New Roman" w:hAnsi="Times New Roman"/>
          <w:b/>
          <w:i/>
          <w:sz w:val="24"/>
          <w:szCs w:val="24"/>
          <w:lang w:val="nl-NL"/>
        </w:rPr>
        <w:t>K</w:t>
      </w:r>
      <w:r w:rsidR="003A0280" w:rsidRPr="00D8620E">
        <w:rPr>
          <w:rFonts w:ascii="Times New Roman" w:hAnsi="Times New Roman"/>
          <w:b/>
          <w:i/>
          <w:sz w:val="24"/>
          <w:szCs w:val="24"/>
          <w:lang w:val="nl-NL"/>
        </w:rPr>
        <w:t>hông có</w:t>
      </w:r>
    </w:p>
    <w:p w:rsidR="00100534" w:rsidRPr="00D8620E" w:rsidRDefault="00100534" w:rsidP="004352B7">
      <w:pPr>
        <w:tabs>
          <w:tab w:val="left" w:pos="993"/>
        </w:tabs>
        <w:spacing w:before="120" w:after="120" w:line="312" w:lineRule="auto"/>
        <w:jc w:val="both"/>
        <w:rPr>
          <w:rFonts w:ascii="Times New Roman" w:hAnsi="Times New Roman"/>
          <w:sz w:val="24"/>
          <w:szCs w:val="24"/>
          <w:lang w:val="nl-NL"/>
        </w:rPr>
      </w:pPr>
      <w:r w:rsidRPr="00D8620E">
        <w:rPr>
          <w:rFonts w:ascii="Times New Roman" w:hAnsi="Times New Roman"/>
          <w:sz w:val="24"/>
          <w:szCs w:val="24"/>
          <w:lang w:val="nl-NL"/>
        </w:rPr>
        <w:t xml:space="preserve">c)  Tổng chi phí các hoạt động ủy quyền phải trả cho bên nhận ủy quyền (trường hợp bên nhận ủy quyền cung cấp nhiều dịch vụ cho </w:t>
      </w:r>
      <w:r w:rsidR="00B82976" w:rsidRPr="00D8620E">
        <w:rPr>
          <w:rFonts w:ascii="Times New Roman" w:hAnsi="Times New Roman"/>
          <w:sz w:val="24"/>
          <w:szCs w:val="24"/>
          <w:lang w:val="nl-NL"/>
        </w:rPr>
        <w:t>C</w:t>
      </w:r>
      <w:r w:rsidRPr="00D8620E">
        <w:rPr>
          <w:rFonts w:ascii="Times New Roman" w:hAnsi="Times New Roman"/>
          <w:sz w:val="24"/>
          <w:szCs w:val="24"/>
          <w:lang w:val="nl-NL"/>
        </w:rPr>
        <w:t xml:space="preserve">ông ty </w:t>
      </w:r>
      <w:r w:rsidR="00B82976" w:rsidRPr="00D8620E">
        <w:rPr>
          <w:rFonts w:ascii="Times New Roman" w:hAnsi="Times New Roman"/>
          <w:sz w:val="24"/>
          <w:szCs w:val="24"/>
          <w:lang w:val="nl-NL"/>
        </w:rPr>
        <w:t>Q</w:t>
      </w:r>
      <w:r w:rsidRPr="00D8620E">
        <w:rPr>
          <w:rFonts w:ascii="Times New Roman" w:hAnsi="Times New Roman"/>
          <w:sz w:val="24"/>
          <w:szCs w:val="24"/>
          <w:lang w:val="nl-NL"/>
        </w:rPr>
        <w:t xml:space="preserve">uản lý </w:t>
      </w:r>
      <w:r w:rsidR="00B82976" w:rsidRPr="00D8620E">
        <w:rPr>
          <w:rFonts w:ascii="Times New Roman" w:hAnsi="Times New Roman"/>
          <w:sz w:val="24"/>
          <w:szCs w:val="24"/>
          <w:lang w:val="nl-NL"/>
        </w:rPr>
        <w:t>Q</w:t>
      </w:r>
      <w:r w:rsidRPr="00D8620E">
        <w:rPr>
          <w:rFonts w:ascii="Times New Roman" w:hAnsi="Times New Roman"/>
          <w:sz w:val="24"/>
          <w:szCs w:val="24"/>
          <w:lang w:val="nl-NL"/>
        </w:rPr>
        <w:t>uỹ)</w:t>
      </w:r>
    </w:p>
    <w:p w:rsidR="003A0280" w:rsidRDefault="003A0280" w:rsidP="004352B7">
      <w:pPr>
        <w:tabs>
          <w:tab w:val="left" w:pos="540"/>
          <w:tab w:val="left" w:pos="1134"/>
        </w:tabs>
        <w:spacing w:before="120" w:after="120" w:line="240" w:lineRule="auto"/>
        <w:jc w:val="both"/>
        <w:rPr>
          <w:rFonts w:ascii="Times New Roman" w:eastAsia="Times New Roman" w:hAnsi="Times New Roman"/>
          <w:sz w:val="24"/>
          <w:szCs w:val="24"/>
          <w:lang w:val="nl-NL"/>
        </w:rPr>
      </w:pPr>
      <w:r w:rsidRPr="00D8620E">
        <w:rPr>
          <w:rFonts w:ascii="Times New Roman" w:eastAsia="Times New Roman" w:hAnsi="Times New Roman"/>
          <w:sz w:val="24"/>
          <w:szCs w:val="24"/>
          <w:lang w:val="nl-NL"/>
        </w:rPr>
        <w:t xml:space="preserve">Chi phí các hoạt động ủy quyền bao gồm dịch vụ </w:t>
      </w:r>
      <w:r w:rsidR="00B82976" w:rsidRPr="00D8620E">
        <w:rPr>
          <w:rFonts w:ascii="Times New Roman" w:eastAsia="Times New Roman" w:hAnsi="Times New Roman"/>
          <w:sz w:val="24"/>
          <w:szCs w:val="24"/>
          <w:lang w:val="nl-NL"/>
        </w:rPr>
        <w:t>Q</w:t>
      </w:r>
      <w:r w:rsidRPr="00D8620E">
        <w:rPr>
          <w:rFonts w:ascii="Times New Roman" w:eastAsia="Times New Roman" w:hAnsi="Times New Roman"/>
          <w:sz w:val="24"/>
          <w:szCs w:val="24"/>
          <w:lang w:val="nl-NL"/>
        </w:rPr>
        <w:t xml:space="preserve">uản trị </w:t>
      </w:r>
      <w:r w:rsidR="00B82976" w:rsidRPr="00D8620E">
        <w:rPr>
          <w:rFonts w:ascii="Times New Roman" w:eastAsia="Times New Roman" w:hAnsi="Times New Roman"/>
          <w:sz w:val="24"/>
          <w:szCs w:val="24"/>
          <w:lang w:val="nl-NL"/>
        </w:rPr>
        <w:t>Q</w:t>
      </w:r>
      <w:r w:rsidRPr="00D8620E">
        <w:rPr>
          <w:rFonts w:ascii="Times New Roman" w:eastAsia="Times New Roman" w:hAnsi="Times New Roman"/>
          <w:sz w:val="24"/>
          <w:szCs w:val="24"/>
          <w:lang w:val="nl-NL"/>
        </w:rPr>
        <w:t xml:space="preserve">uỹ và dịch vụ </w:t>
      </w:r>
      <w:r w:rsidR="00B82976" w:rsidRPr="00D8620E">
        <w:rPr>
          <w:rFonts w:ascii="Times New Roman" w:eastAsia="Times New Roman" w:hAnsi="Times New Roman"/>
          <w:sz w:val="24"/>
          <w:szCs w:val="24"/>
          <w:lang w:val="nl-NL"/>
        </w:rPr>
        <w:t>Đ</w:t>
      </w:r>
      <w:r w:rsidRPr="00D8620E">
        <w:rPr>
          <w:rFonts w:ascii="Times New Roman" w:eastAsia="Times New Roman" w:hAnsi="Times New Roman"/>
          <w:sz w:val="24"/>
          <w:szCs w:val="24"/>
          <w:lang w:val="nl-NL"/>
        </w:rPr>
        <w:t xml:space="preserve">ại lý chuyển nhượng phải trả cho bên nhận ủy quyền – Ngân hàng TNHH một thành viên HSBC (Việt Nam) từ ngày 03/01/2019 đến </w:t>
      </w:r>
      <w:r w:rsidR="00E842A8" w:rsidRPr="00D8620E">
        <w:rPr>
          <w:rFonts w:ascii="Times New Roman" w:eastAsia="Times New Roman" w:hAnsi="Times New Roman"/>
          <w:sz w:val="24"/>
          <w:szCs w:val="24"/>
          <w:lang w:val="nl-NL"/>
        </w:rPr>
        <w:t>31/12</w:t>
      </w:r>
      <w:r w:rsidRPr="00D8620E">
        <w:rPr>
          <w:rFonts w:ascii="Times New Roman" w:eastAsia="Times New Roman" w:hAnsi="Times New Roman"/>
          <w:sz w:val="24"/>
          <w:szCs w:val="24"/>
          <w:lang w:val="nl-NL"/>
        </w:rPr>
        <w:t>/2019 như sau:</w:t>
      </w:r>
    </w:p>
    <w:p w:rsidR="00835733" w:rsidRPr="00D8620E" w:rsidRDefault="00835733" w:rsidP="004352B7">
      <w:pPr>
        <w:tabs>
          <w:tab w:val="left" w:pos="540"/>
          <w:tab w:val="left" w:pos="1134"/>
        </w:tabs>
        <w:spacing w:before="120" w:after="120" w:line="240" w:lineRule="auto"/>
        <w:jc w:val="both"/>
        <w:rPr>
          <w:rFonts w:ascii="Times New Roman" w:eastAsia="Times New Roman" w:hAnsi="Times New Roman"/>
          <w:sz w:val="24"/>
          <w:szCs w:val="24"/>
          <w:lang w:val="nl-NL"/>
        </w:rPr>
      </w:pPr>
    </w:p>
    <w:tbl>
      <w:tblPr>
        <w:tblW w:w="9360" w:type="dxa"/>
        <w:tblInd w:w="5" w:type="dxa"/>
        <w:tblCellMar>
          <w:left w:w="0" w:type="dxa"/>
          <w:right w:w="0" w:type="dxa"/>
        </w:tblCellMar>
        <w:tblLook w:val="04A0" w:firstRow="1" w:lastRow="0" w:firstColumn="1" w:lastColumn="0" w:noHBand="0" w:noVBand="1"/>
      </w:tblPr>
      <w:tblGrid>
        <w:gridCol w:w="5580"/>
        <w:gridCol w:w="3780"/>
      </w:tblGrid>
      <w:tr w:rsidR="00E842A8" w:rsidRPr="00D8620E" w:rsidTr="00E83C48">
        <w:trPr>
          <w:trHeight w:val="330"/>
        </w:trPr>
        <w:tc>
          <w:tcPr>
            <w:tcW w:w="5580" w:type="dxa"/>
            <w:tcBorders>
              <w:top w:val="single" w:sz="4" w:space="0" w:color="auto"/>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ind w:firstLine="90"/>
              <w:jc w:val="both"/>
              <w:rPr>
                <w:rFonts w:ascii="Times New Roman" w:hAnsi="Times New Roman"/>
                <w:sz w:val="24"/>
                <w:szCs w:val="24"/>
                <w:lang w:val="nl-NL"/>
              </w:rPr>
            </w:pPr>
            <w:r w:rsidRPr="00D8620E">
              <w:rPr>
                <w:rFonts w:ascii="Times New Roman" w:hAnsi="Times New Roman"/>
                <w:sz w:val="24"/>
                <w:szCs w:val="24"/>
                <w:lang w:val="nl-NL"/>
              </w:rPr>
              <w:lastRenderedPageBreak/>
              <w:t>Phí dịch vụ quản trị Quỹ mở (VND)</w:t>
            </w:r>
          </w:p>
        </w:tc>
        <w:tc>
          <w:tcPr>
            <w:tcW w:w="3780" w:type="dxa"/>
            <w:tcBorders>
              <w:top w:val="single" w:sz="4" w:space="0" w:color="auto"/>
              <w:left w:val="nil"/>
              <w:bottom w:val="single" w:sz="4" w:space="0" w:color="auto"/>
              <w:right w:val="single" w:sz="4" w:space="0" w:color="auto"/>
            </w:tcBorders>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sz w:val="24"/>
                <w:szCs w:val="24"/>
              </w:rPr>
              <w:t>144.419.361</w:t>
            </w:r>
          </w:p>
        </w:tc>
      </w:tr>
      <w:tr w:rsidR="00E842A8" w:rsidRPr="00D8620E" w:rsidTr="00E83C48">
        <w:trPr>
          <w:trHeight w:val="330"/>
        </w:trPr>
        <w:tc>
          <w:tcPr>
            <w:tcW w:w="5580" w:type="dxa"/>
            <w:tcBorders>
              <w:top w:val="nil"/>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ind w:firstLine="90"/>
              <w:jc w:val="both"/>
              <w:rPr>
                <w:rFonts w:ascii="Times New Roman" w:hAnsi="Times New Roman"/>
                <w:sz w:val="24"/>
                <w:szCs w:val="24"/>
                <w:lang w:val="nl-NL"/>
              </w:rPr>
            </w:pPr>
            <w:r w:rsidRPr="00D8620E">
              <w:rPr>
                <w:rFonts w:ascii="Times New Roman" w:hAnsi="Times New Roman"/>
                <w:sz w:val="24"/>
                <w:szCs w:val="24"/>
                <w:lang w:val="nl-NL"/>
              </w:rPr>
              <w:t>Phí dịch vụ Đại lý chuyển nhượng (VND)</w:t>
            </w:r>
          </w:p>
        </w:tc>
        <w:tc>
          <w:tcPr>
            <w:tcW w:w="3780" w:type="dxa"/>
            <w:tcBorders>
              <w:top w:val="single" w:sz="4" w:space="0" w:color="auto"/>
              <w:left w:val="nil"/>
              <w:bottom w:val="single" w:sz="4" w:space="0" w:color="auto"/>
              <w:right w:val="single" w:sz="4" w:space="0" w:color="auto"/>
            </w:tcBorders>
            <w:hideMark/>
          </w:tcPr>
          <w:p w:rsidR="00E842A8" w:rsidRPr="00D8620E" w:rsidRDefault="00E842A8" w:rsidP="00E842A8">
            <w:pPr>
              <w:spacing w:before="120" w:after="120" w:line="240" w:lineRule="auto"/>
              <w:jc w:val="center"/>
              <w:rPr>
                <w:rFonts w:ascii="Times New Roman" w:eastAsia="Times New Roman" w:hAnsi="Times New Roman"/>
                <w:sz w:val="24"/>
                <w:szCs w:val="24"/>
              </w:rPr>
            </w:pPr>
            <w:r w:rsidRPr="00D8620E">
              <w:rPr>
                <w:rFonts w:ascii="Times New Roman" w:hAnsi="Times New Roman"/>
                <w:sz w:val="24"/>
                <w:szCs w:val="24"/>
              </w:rPr>
              <w:t>238.106.390</w:t>
            </w:r>
          </w:p>
        </w:tc>
      </w:tr>
      <w:tr w:rsidR="00E842A8" w:rsidRPr="00D8620E" w:rsidTr="00E83C48">
        <w:trPr>
          <w:trHeight w:val="233"/>
        </w:trPr>
        <w:tc>
          <w:tcPr>
            <w:tcW w:w="5580" w:type="dxa"/>
            <w:tcBorders>
              <w:top w:val="nil"/>
              <w:left w:val="single" w:sz="4" w:space="0" w:color="auto"/>
              <w:bottom w:val="single" w:sz="4" w:space="0" w:color="auto"/>
              <w:right w:val="single" w:sz="4" w:space="0" w:color="auto"/>
            </w:tcBorders>
            <w:vAlign w:val="center"/>
            <w:hideMark/>
          </w:tcPr>
          <w:p w:rsidR="00E842A8" w:rsidRPr="00D8620E" w:rsidRDefault="00E842A8" w:rsidP="00E842A8">
            <w:pPr>
              <w:spacing w:before="120" w:after="120" w:line="240" w:lineRule="auto"/>
              <w:ind w:firstLine="90"/>
              <w:jc w:val="both"/>
              <w:rPr>
                <w:rFonts w:ascii="Times New Roman" w:hAnsi="Times New Roman"/>
                <w:b/>
                <w:bCs/>
                <w:sz w:val="24"/>
                <w:szCs w:val="24"/>
              </w:rPr>
            </w:pPr>
            <w:proofErr w:type="spellStart"/>
            <w:r w:rsidRPr="00D8620E">
              <w:rPr>
                <w:rFonts w:ascii="Times New Roman" w:hAnsi="Times New Roman"/>
                <w:b/>
                <w:bCs/>
                <w:sz w:val="24"/>
                <w:szCs w:val="24"/>
              </w:rPr>
              <w:t>Tổng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cộng</w:t>
            </w:r>
            <w:proofErr w:type="spellEnd"/>
            <w:r w:rsidRPr="00D8620E">
              <w:rPr>
                <w:rFonts w:ascii="Times New Roman" w:hAnsi="Times New Roman"/>
                <w:b/>
                <w:bCs/>
                <w:sz w:val="24"/>
                <w:szCs w:val="24"/>
              </w:rPr>
              <w:t xml:space="preserve"> (VND)</w:t>
            </w:r>
          </w:p>
        </w:tc>
        <w:tc>
          <w:tcPr>
            <w:tcW w:w="3780" w:type="dxa"/>
            <w:tcBorders>
              <w:top w:val="single" w:sz="4" w:space="0" w:color="auto"/>
              <w:left w:val="nil"/>
              <w:bottom w:val="single" w:sz="4" w:space="0" w:color="auto"/>
              <w:right w:val="single" w:sz="4" w:space="0" w:color="auto"/>
            </w:tcBorders>
            <w:hideMark/>
          </w:tcPr>
          <w:p w:rsidR="00E842A8" w:rsidRPr="00D8620E" w:rsidRDefault="00E842A8" w:rsidP="00E842A8">
            <w:pPr>
              <w:spacing w:before="120" w:after="120" w:line="240" w:lineRule="auto"/>
              <w:jc w:val="center"/>
              <w:rPr>
                <w:rFonts w:ascii="Times New Roman" w:eastAsia="Times New Roman" w:hAnsi="Times New Roman"/>
                <w:b/>
                <w:bCs/>
                <w:sz w:val="24"/>
                <w:szCs w:val="24"/>
              </w:rPr>
            </w:pPr>
            <w:r w:rsidRPr="00D8620E">
              <w:rPr>
                <w:rFonts w:ascii="Times New Roman" w:hAnsi="Times New Roman"/>
                <w:b/>
                <w:bCs/>
                <w:sz w:val="24"/>
                <w:szCs w:val="24"/>
              </w:rPr>
              <w:t>382.525.751</w:t>
            </w:r>
          </w:p>
        </w:tc>
      </w:tr>
    </w:tbl>
    <w:p w:rsidR="00C0699B" w:rsidRPr="00D8620E" w:rsidRDefault="00100534" w:rsidP="004352B7">
      <w:pPr>
        <w:spacing w:before="120" w:after="120"/>
        <w:ind w:firstLine="1"/>
        <w:jc w:val="both"/>
        <w:rPr>
          <w:rFonts w:ascii="Times New Roman" w:hAnsi="Times New Roman"/>
          <w:sz w:val="24"/>
          <w:szCs w:val="24"/>
          <w:lang w:val="nl-NL"/>
        </w:rPr>
      </w:pPr>
      <w:r w:rsidRPr="00D8620E">
        <w:rPr>
          <w:rFonts w:ascii="Times New Roman" w:hAnsi="Times New Roman"/>
          <w:sz w:val="24"/>
          <w:szCs w:val="24"/>
          <w:lang w:val="nl-NL"/>
        </w:rPr>
        <w:t xml:space="preserve">d)  </w:t>
      </w:r>
      <w:r w:rsidR="007D5FD9" w:rsidRPr="00D8620E">
        <w:rPr>
          <w:rFonts w:ascii="Times New Roman" w:hAnsi="Times New Roman"/>
          <w:sz w:val="24"/>
          <w:szCs w:val="24"/>
          <w:lang w:val="nl-NL"/>
        </w:rPr>
        <w:t>Trong quá trình hoạt động của Quỹ</w:t>
      </w:r>
      <w:r w:rsidR="001123FF" w:rsidRPr="00D8620E">
        <w:rPr>
          <w:rFonts w:ascii="Times New Roman" w:hAnsi="Times New Roman"/>
          <w:sz w:val="24"/>
          <w:szCs w:val="24"/>
          <w:lang w:val="nl-NL"/>
        </w:rPr>
        <w:t xml:space="preserve">, </w:t>
      </w:r>
      <w:r w:rsidR="007D5FD9" w:rsidRPr="00D8620E">
        <w:rPr>
          <w:rFonts w:ascii="Times New Roman" w:hAnsi="Times New Roman"/>
          <w:sz w:val="24"/>
          <w:szCs w:val="24"/>
          <w:lang w:val="nl-NL"/>
        </w:rPr>
        <w:t>Công ty cho rằng</w:t>
      </w:r>
      <w:r w:rsidR="001123FF" w:rsidRPr="00D8620E">
        <w:rPr>
          <w:rFonts w:ascii="Times New Roman" w:hAnsi="Times New Roman"/>
          <w:sz w:val="24"/>
          <w:szCs w:val="24"/>
          <w:lang w:val="nl-NL"/>
        </w:rPr>
        <w:t xml:space="preserve"> dịch vụ Quản trị Quỹ, Đại lý Chuyển nhượng của Ngân hàng TNHH Một thành viên HSBC (Việt Nam) </w:t>
      </w:r>
      <w:r w:rsidR="007D5FD9" w:rsidRPr="00D8620E">
        <w:rPr>
          <w:rFonts w:ascii="Times New Roman" w:hAnsi="Times New Roman"/>
          <w:sz w:val="24"/>
          <w:szCs w:val="24"/>
          <w:lang w:val="nl-NL"/>
        </w:rPr>
        <w:t xml:space="preserve">vẫn đáp ứng theo yêu cầu </w:t>
      </w:r>
      <w:r w:rsidR="001123FF" w:rsidRPr="00D8620E">
        <w:rPr>
          <w:rFonts w:ascii="Times New Roman" w:hAnsi="Times New Roman"/>
          <w:sz w:val="24"/>
          <w:szCs w:val="24"/>
          <w:lang w:val="nl-NL"/>
        </w:rPr>
        <w:t xml:space="preserve">về </w:t>
      </w:r>
      <w:r w:rsidR="007D5FD9" w:rsidRPr="00D8620E">
        <w:rPr>
          <w:rFonts w:ascii="Times New Roman" w:hAnsi="Times New Roman"/>
          <w:sz w:val="24"/>
          <w:szCs w:val="24"/>
          <w:lang w:val="nl-NL"/>
        </w:rPr>
        <w:t xml:space="preserve">khả năng </w:t>
      </w:r>
      <w:r w:rsidR="00C0699B" w:rsidRPr="00D8620E">
        <w:rPr>
          <w:rFonts w:ascii="Times New Roman" w:hAnsi="Times New Roman"/>
          <w:sz w:val="24"/>
          <w:szCs w:val="24"/>
          <w:lang w:val="nl-NL"/>
        </w:rPr>
        <w:t>duy trì hệ thống kiểm soát nội bộ, quản trị rủi ro, tính bảo mật, hạ tầng cơ sở vật chất kỹ thuật, hệ thống dự phòng nóng, hệ thống d</w:t>
      </w:r>
      <w:r w:rsidR="007D5FD9" w:rsidRPr="00D8620E">
        <w:rPr>
          <w:rFonts w:ascii="Times New Roman" w:hAnsi="Times New Roman"/>
          <w:sz w:val="24"/>
          <w:szCs w:val="24"/>
          <w:lang w:val="nl-NL"/>
        </w:rPr>
        <w:t>ự</w:t>
      </w:r>
      <w:r w:rsidR="00C0699B" w:rsidRPr="00D8620E">
        <w:rPr>
          <w:rFonts w:ascii="Times New Roman" w:hAnsi="Times New Roman"/>
          <w:sz w:val="24"/>
          <w:szCs w:val="24"/>
          <w:lang w:val="nl-NL"/>
        </w:rPr>
        <w:t xml:space="preserve"> phòng thảm họa, bảo đảm hoạt động ủy quyền</w:t>
      </w:r>
      <w:r w:rsidR="00175F80" w:rsidRPr="00D8620E">
        <w:rPr>
          <w:rFonts w:ascii="Times New Roman" w:hAnsi="Times New Roman"/>
          <w:sz w:val="24"/>
          <w:szCs w:val="24"/>
          <w:lang w:val="nl-NL"/>
        </w:rPr>
        <w:t xml:space="preserve"> cung cấp các dịch vụ Quản trị Quỹ và Đại lý Chuyển nhượng cho Quỹ Đầu tư Tăng trưởng DFVN (DFVN-CAF)</w:t>
      </w:r>
      <w:r w:rsidR="00C0699B" w:rsidRPr="00D8620E">
        <w:rPr>
          <w:rFonts w:ascii="Times New Roman" w:hAnsi="Times New Roman"/>
          <w:sz w:val="24"/>
          <w:szCs w:val="24"/>
          <w:lang w:val="nl-NL"/>
        </w:rPr>
        <w:t xml:space="preserve"> được thực hiện thông suốt, không gây ảnh hưởng tới hoạt động đầu tư của nhà đầu tư</w:t>
      </w:r>
      <w:r w:rsidR="00175F80" w:rsidRPr="00D8620E">
        <w:rPr>
          <w:rFonts w:ascii="Times New Roman" w:hAnsi="Times New Roman"/>
          <w:sz w:val="24"/>
          <w:szCs w:val="24"/>
          <w:lang w:val="nl-NL"/>
        </w:rPr>
        <w:t>.</w:t>
      </w:r>
      <w:r w:rsidR="00C0699B" w:rsidRPr="00D8620E">
        <w:rPr>
          <w:rFonts w:ascii="Times New Roman" w:hAnsi="Times New Roman"/>
          <w:sz w:val="24"/>
          <w:szCs w:val="24"/>
          <w:lang w:val="nl-NL"/>
        </w:rPr>
        <w:t xml:space="preserve"> </w:t>
      </w:r>
    </w:p>
    <w:p w:rsidR="00100534" w:rsidRDefault="00100534" w:rsidP="00100534">
      <w:pPr>
        <w:tabs>
          <w:tab w:val="left" w:pos="993"/>
        </w:tabs>
        <w:spacing w:after="0" w:line="312" w:lineRule="auto"/>
        <w:jc w:val="both"/>
        <w:rPr>
          <w:rFonts w:ascii="Times New Roman" w:hAnsi="Times New Roman"/>
          <w:sz w:val="24"/>
          <w:szCs w:val="24"/>
          <w:lang w:val="nl-NL"/>
        </w:rPr>
      </w:pPr>
    </w:p>
    <w:p w:rsidR="00835733" w:rsidRPr="00D8620E" w:rsidRDefault="00835733" w:rsidP="00100534">
      <w:pPr>
        <w:tabs>
          <w:tab w:val="left" w:pos="993"/>
        </w:tabs>
        <w:spacing w:after="0" w:line="312" w:lineRule="auto"/>
        <w:jc w:val="both"/>
        <w:rPr>
          <w:rFonts w:ascii="Times New Roman" w:hAnsi="Times New Roman"/>
          <w:sz w:val="24"/>
          <w:szCs w:val="24"/>
          <w:lang w:val="nl-NL"/>
        </w:rPr>
      </w:pPr>
    </w:p>
    <w:tbl>
      <w:tblPr>
        <w:tblW w:w="9252" w:type="dxa"/>
        <w:tblInd w:w="108" w:type="dxa"/>
        <w:tblLook w:val="01E0" w:firstRow="1" w:lastRow="1" w:firstColumn="1" w:lastColumn="1" w:noHBand="0" w:noVBand="0"/>
      </w:tblPr>
      <w:tblGrid>
        <w:gridCol w:w="4556"/>
        <w:gridCol w:w="4696"/>
      </w:tblGrid>
      <w:tr w:rsidR="00100534" w:rsidRPr="00D8620E" w:rsidTr="004F236F">
        <w:tc>
          <w:tcPr>
            <w:tcW w:w="4556" w:type="dxa"/>
          </w:tcPr>
          <w:p w:rsidR="00100534" w:rsidRPr="00D8620E" w:rsidRDefault="00100534" w:rsidP="000E5BC9">
            <w:pPr>
              <w:spacing w:after="0" w:line="300" w:lineRule="auto"/>
              <w:jc w:val="both"/>
              <w:rPr>
                <w:rFonts w:ascii="Times New Roman" w:hAnsi="Times New Roman"/>
                <w:b/>
                <w:i/>
                <w:sz w:val="24"/>
                <w:szCs w:val="24"/>
                <w:lang w:val="nl-NL"/>
              </w:rPr>
            </w:pPr>
          </w:p>
        </w:tc>
        <w:tc>
          <w:tcPr>
            <w:tcW w:w="4696" w:type="dxa"/>
          </w:tcPr>
          <w:p w:rsidR="00100534" w:rsidRPr="00D8620E" w:rsidRDefault="00100534" w:rsidP="000E5BC9">
            <w:pPr>
              <w:spacing w:after="0" w:line="300" w:lineRule="auto"/>
              <w:jc w:val="center"/>
              <w:rPr>
                <w:rFonts w:ascii="Times New Roman" w:hAnsi="Times New Roman"/>
                <w:b/>
                <w:bCs/>
                <w:sz w:val="24"/>
                <w:szCs w:val="24"/>
                <w:lang w:val="nl-NL"/>
              </w:rPr>
            </w:pPr>
            <w:r w:rsidRPr="00D8620E">
              <w:rPr>
                <w:rFonts w:ascii="Times New Roman" w:hAnsi="Times New Roman"/>
                <w:b/>
                <w:bCs/>
                <w:sz w:val="24"/>
                <w:szCs w:val="24"/>
                <w:lang w:val="nl-NL"/>
              </w:rPr>
              <w:t>Tổng Giám đốc Công ty quản lý quỹ</w:t>
            </w:r>
          </w:p>
          <w:p w:rsidR="00100534" w:rsidRPr="00D8620E" w:rsidRDefault="004F236F" w:rsidP="000E5BC9">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Trần Châu Danh</w:t>
            </w:r>
          </w:p>
        </w:tc>
      </w:tr>
    </w:tbl>
    <w:p w:rsidR="00F45234" w:rsidRPr="00D8620E" w:rsidRDefault="00835733">
      <w:pPr>
        <w:rPr>
          <w:rFonts w:ascii="Times New Roman" w:hAnsi="Times New Roman"/>
          <w:sz w:val="24"/>
          <w:szCs w:val="24"/>
        </w:rPr>
      </w:pPr>
    </w:p>
    <w:sectPr w:rsidR="00F45234" w:rsidRPr="00D8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7D4"/>
    <w:multiLevelType w:val="hybridMultilevel"/>
    <w:tmpl w:val="01B4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3144"/>
    <w:multiLevelType w:val="hybridMultilevel"/>
    <w:tmpl w:val="A156C73E"/>
    <w:lvl w:ilvl="0" w:tplc="FE2201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39074D"/>
    <w:multiLevelType w:val="hybridMultilevel"/>
    <w:tmpl w:val="D3FAC41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665523E"/>
    <w:multiLevelType w:val="hybridMultilevel"/>
    <w:tmpl w:val="273EDDF0"/>
    <w:lvl w:ilvl="0" w:tplc="CB005032">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F484B"/>
    <w:multiLevelType w:val="hybridMultilevel"/>
    <w:tmpl w:val="302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16E7F"/>
    <w:multiLevelType w:val="hybridMultilevel"/>
    <w:tmpl w:val="D78A666C"/>
    <w:lvl w:ilvl="0" w:tplc="84DC6E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07C4"/>
    <w:multiLevelType w:val="hybridMultilevel"/>
    <w:tmpl w:val="5784C46A"/>
    <w:lvl w:ilvl="0" w:tplc="C3E83D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A576CE5"/>
    <w:multiLevelType w:val="hybridMultilevel"/>
    <w:tmpl w:val="D77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75D3B"/>
    <w:multiLevelType w:val="hybridMultilevel"/>
    <w:tmpl w:val="35D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56AE5"/>
    <w:multiLevelType w:val="hybridMultilevel"/>
    <w:tmpl w:val="C59EB80A"/>
    <w:lvl w:ilvl="0" w:tplc="F522A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133D7"/>
    <w:multiLevelType w:val="hybridMultilevel"/>
    <w:tmpl w:val="F1141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A1DA9"/>
    <w:multiLevelType w:val="hybridMultilevel"/>
    <w:tmpl w:val="0AEC7F08"/>
    <w:lvl w:ilvl="0" w:tplc="8EE09956">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D3186"/>
    <w:multiLevelType w:val="hybridMultilevel"/>
    <w:tmpl w:val="55BEC1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E13A88"/>
    <w:multiLevelType w:val="hybridMultilevel"/>
    <w:tmpl w:val="813EC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B670D"/>
    <w:multiLevelType w:val="hybridMultilevel"/>
    <w:tmpl w:val="68560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25499C"/>
    <w:multiLevelType w:val="hybridMultilevel"/>
    <w:tmpl w:val="CBE0D6DC"/>
    <w:lvl w:ilvl="0" w:tplc="70DC07EA">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2022F94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773A8"/>
    <w:multiLevelType w:val="hybridMultilevel"/>
    <w:tmpl w:val="2700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3732"/>
    <w:multiLevelType w:val="hybridMultilevel"/>
    <w:tmpl w:val="0C4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772BE"/>
    <w:multiLevelType w:val="hybridMultilevel"/>
    <w:tmpl w:val="D714C36A"/>
    <w:lvl w:ilvl="0" w:tplc="F57091E8">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243C5E"/>
    <w:multiLevelType w:val="hybridMultilevel"/>
    <w:tmpl w:val="169238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5729FE"/>
    <w:multiLevelType w:val="hybridMultilevel"/>
    <w:tmpl w:val="459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F59CC"/>
    <w:multiLevelType w:val="hybridMultilevel"/>
    <w:tmpl w:val="A91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20B6"/>
    <w:multiLevelType w:val="hybridMultilevel"/>
    <w:tmpl w:val="27F6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268AC"/>
    <w:multiLevelType w:val="hybridMultilevel"/>
    <w:tmpl w:val="7BC48B9C"/>
    <w:lvl w:ilvl="0" w:tplc="DD28E652">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
  </w:num>
  <w:num w:numId="2">
    <w:abstractNumId w:val="19"/>
  </w:num>
  <w:num w:numId="3">
    <w:abstractNumId w:val="6"/>
  </w:num>
  <w:num w:numId="4">
    <w:abstractNumId w:val="24"/>
  </w:num>
  <w:num w:numId="5">
    <w:abstractNumId w:val="3"/>
  </w:num>
  <w:num w:numId="6">
    <w:abstractNumId w:val="1"/>
  </w:num>
  <w:num w:numId="7">
    <w:abstractNumId w:val="5"/>
  </w:num>
  <w:num w:numId="8">
    <w:abstractNumId w:val="11"/>
  </w:num>
  <w:num w:numId="9">
    <w:abstractNumId w:val="14"/>
  </w:num>
  <w:num w:numId="10">
    <w:abstractNumId w:val="9"/>
  </w:num>
  <w:num w:numId="11">
    <w:abstractNumId w:val="21"/>
  </w:num>
  <w:num w:numId="12">
    <w:abstractNumId w:val="12"/>
  </w:num>
  <w:num w:numId="13">
    <w:abstractNumId w:val="16"/>
  </w:num>
  <w:num w:numId="14">
    <w:abstractNumId w:val="22"/>
  </w:num>
  <w:num w:numId="15">
    <w:abstractNumId w:val="2"/>
  </w:num>
  <w:num w:numId="16">
    <w:abstractNumId w:val="8"/>
  </w:num>
  <w:num w:numId="17">
    <w:abstractNumId w:val="18"/>
  </w:num>
  <w:num w:numId="18">
    <w:abstractNumId w:val="0"/>
  </w:num>
  <w:num w:numId="19">
    <w:abstractNumId w:val="15"/>
  </w:num>
  <w:num w:numId="20">
    <w:abstractNumId w:val="7"/>
  </w:num>
  <w:num w:numId="21">
    <w:abstractNumId w:val="24"/>
  </w:num>
  <w:num w:numId="22">
    <w:abstractNumId w:val="13"/>
  </w:num>
  <w:num w:numId="23">
    <w:abstractNumId w:val="4"/>
  </w:num>
  <w:num w:numId="24">
    <w:abstractNumId w:val="20"/>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34"/>
    <w:rsid w:val="00055B7B"/>
    <w:rsid w:val="00063E75"/>
    <w:rsid w:val="00081E5D"/>
    <w:rsid w:val="000A2248"/>
    <w:rsid w:val="000B0D9A"/>
    <w:rsid w:val="000B55D2"/>
    <w:rsid w:val="00100534"/>
    <w:rsid w:val="001123FF"/>
    <w:rsid w:val="00175F80"/>
    <w:rsid w:val="001B5889"/>
    <w:rsid w:val="001C0E26"/>
    <w:rsid w:val="0020125F"/>
    <w:rsid w:val="00201527"/>
    <w:rsid w:val="002072C5"/>
    <w:rsid w:val="002A7FEF"/>
    <w:rsid w:val="002D2B08"/>
    <w:rsid w:val="002E7553"/>
    <w:rsid w:val="0035046B"/>
    <w:rsid w:val="00355F1F"/>
    <w:rsid w:val="00365443"/>
    <w:rsid w:val="003A0280"/>
    <w:rsid w:val="003B5D8B"/>
    <w:rsid w:val="003B6725"/>
    <w:rsid w:val="00412027"/>
    <w:rsid w:val="00433D7C"/>
    <w:rsid w:val="004352B7"/>
    <w:rsid w:val="004D7F59"/>
    <w:rsid w:val="004F236F"/>
    <w:rsid w:val="00540C7D"/>
    <w:rsid w:val="00570567"/>
    <w:rsid w:val="005A634F"/>
    <w:rsid w:val="00645123"/>
    <w:rsid w:val="006A422D"/>
    <w:rsid w:val="006D13AA"/>
    <w:rsid w:val="006F4FB4"/>
    <w:rsid w:val="00730F2E"/>
    <w:rsid w:val="007413D2"/>
    <w:rsid w:val="00743A96"/>
    <w:rsid w:val="00780773"/>
    <w:rsid w:val="007D5FD9"/>
    <w:rsid w:val="007F7157"/>
    <w:rsid w:val="00803D05"/>
    <w:rsid w:val="008324C6"/>
    <w:rsid w:val="00835733"/>
    <w:rsid w:val="00874918"/>
    <w:rsid w:val="008818F9"/>
    <w:rsid w:val="00903EF1"/>
    <w:rsid w:val="009B55A4"/>
    <w:rsid w:val="00A87211"/>
    <w:rsid w:val="00AA2CB5"/>
    <w:rsid w:val="00AC01E9"/>
    <w:rsid w:val="00AC06E2"/>
    <w:rsid w:val="00AE6D17"/>
    <w:rsid w:val="00AF243A"/>
    <w:rsid w:val="00AF33F0"/>
    <w:rsid w:val="00B27B45"/>
    <w:rsid w:val="00B66FAD"/>
    <w:rsid w:val="00B82976"/>
    <w:rsid w:val="00B95218"/>
    <w:rsid w:val="00BA7E94"/>
    <w:rsid w:val="00BC38CC"/>
    <w:rsid w:val="00BD7CEF"/>
    <w:rsid w:val="00C0699B"/>
    <w:rsid w:val="00C503F3"/>
    <w:rsid w:val="00C61033"/>
    <w:rsid w:val="00CD76F9"/>
    <w:rsid w:val="00CE15F6"/>
    <w:rsid w:val="00D60277"/>
    <w:rsid w:val="00D827C2"/>
    <w:rsid w:val="00D8620E"/>
    <w:rsid w:val="00DD5A6A"/>
    <w:rsid w:val="00E20EFB"/>
    <w:rsid w:val="00E250EA"/>
    <w:rsid w:val="00E265CF"/>
    <w:rsid w:val="00E737D0"/>
    <w:rsid w:val="00E83C48"/>
    <w:rsid w:val="00E842A8"/>
    <w:rsid w:val="00EB1EC6"/>
    <w:rsid w:val="00EC050A"/>
    <w:rsid w:val="00EC3454"/>
    <w:rsid w:val="00EE16D8"/>
    <w:rsid w:val="00F04462"/>
    <w:rsid w:val="00F14AC7"/>
    <w:rsid w:val="00F27D08"/>
    <w:rsid w:val="00F52B87"/>
    <w:rsid w:val="00FE0D43"/>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2847"/>
  <w15:docId w15:val="{B68A17DE-00B5-46F9-9E28-A081069A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05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4"/>
    <w:pPr>
      <w:ind w:left="720"/>
      <w:contextualSpacing/>
    </w:pPr>
  </w:style>
  <w:style w:type="paragraph" w:styleId="BalloonText">
    <w:name w:val="Balloon Text"/>
    <w:basedOn w:val="Normal"/>
    <w:link w:val="BalloonTextChar"/>
    <w:uiPriority w:val="99"/>
    <w:semiHidden/>
    <w:unhideWhenUsed/>
    <w:rsid w:val="0006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5"/>
    <w:rPr>
      <w:rFonts w:ascii="Segoe UI" w:eastAsia="Calibri" w:hAnsi="Segoe UI" w:cs="Segoe UI"/>
      <w:sz w:val="18"/>
      <w:szCs w:val="18"/>
    </w:rPr>
  </w:style>
  <w:style w:type="table" w:styleId="TableGrid">
    <w:name w:val="Table Grid"/>
    <w:basedOn w:val="TableNormal"/>
    <w:uiPriority w:val="59"/>
    <w:rsid w:val="00AA2C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CB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3285">
      <w:bodyDiv w:val="1"/>
      <w:marLeft w:val="0"/>
      <w:marRight w:val="0"/>
      <w:marTop w:val="0"/>
      <w:marBottom w:val="0"/>
      <w:divBdr>
        <w:top w:val="none" w:sz="0" w:space="0" w:color="auto"/>
        <w:left w:val="none" w:sz="0" w:space="0" w:color="auto"/>
        <w:bottom w:val="none" w:sz="0" w:space="0" w:color="auto"/>
        <w:right w:val="none" w:sz="0" w:space="0" w:color="auto"/>
      </w:divBdr>
    </w:div>
    <w:div w:id="686754508">
      <w:bodyDiv w:val="1"/>
      <w:marLeft w:val="0"/>
      <w:marRight w:val="0"/>
      <w:marTop w:val="0"/>
      <w:marBottom w:val="0"/>
      <w:divBdr>
        <w:top w:val="none" w:sz="0" w:space="0" w:color="auto"/>
        <w:left w:val="none" w:sz="0" w:space="0" w:color="auto"/>
        <w:bottom w:val="none" w:sz="0" w:space="0" w:color="auto"/>
        <w:right w:val="none" w:sz="0" w:space="0" w:color="auto"/>
      </w:divBdr>
    </w:div>
    <w:div w:id="785349194">
      <w:bodyDiv w:val="1"/>
      <w:marLeft w:val="0"/>
      <w:marRight w:val="0"/>
      <w:marTop w:val="0"/>
      <w:marBottom w:val="0"/>
      <w:divBdr>
        <w:top w:val="none" w:sz="0" w:space="0" w:color="auto"/>
        <w:left w:val="none" w:sz="0" w:space="0" w:color="auto"/>
        <w:bottom w:val="none" w:sz="0" w:space="0" w:color="auto"/>
        <w:right w:val="none" w:sz="0" w:space="0" w:color="auto"/>
      </w:divBdr>
    </w:div>
    <w:div w:id="936711690">
      <w:bodyDiv w:val="1"/>
      <w:marLeft w:val="0"/>
      <w:marRight w:val="0"/>
      <w:marTop w:val="0"/>
      <w:marBottom w:val="0"/>
      <w:divBdr>
        <w:top w:val="none" w:sz="0" w:space="0" w:color="auto"/>
        <w:left w:val="none" w:sz="0" w:space="0" w:color="auto"/>
        <w:bottom w:val="none" w:sz="0" w:space="0" w:color="auto"/>
        <w:right w:val="none" w:sz="0" w:space="0" w:color="auto"/>
      </w:divBdr>
    </w:div>
    <w:div w:id="1008142147">
      <w:bodyDiv w:val="1"/>
      <w:marLeft w:val="0"/>
      <w:marRight w:val="0"/>
      <w:marTop w:val="0"/>
      <w:marBottom w:val="0"/>
      <w:divBdr>
        <w:top w:val="none" w:sz="0" w:space="0" w:color="auto"/>
        <w:left w:val="none" w:sz="0" w:space="0" w:color="auto"/>
        <w:bottom w:val="none" w:sz="0" w:space="0" w:color="auto"/>
        <w:right w:val="none" w:sz="0" w:space="0" w:color="auto"/>
      </w:divBdr>
    </w:div>
    <w:div w:id="1073939305">
      <w:bodyDiv w:val="1"/>
      <w:marLeft w:val="0"/>
      <w:marRight w:val="0"/>
      <w:marTop w:val="0"/>
      <w:marBottom w:val="0"/>
      <w:divBdr>
        <w:top w:val="none" w:sz="0" w:space="0" w:color="auto"/>
        <w:left w:val="none" w:sz="0" w:space="0" w:color="auto"/>
        <w:bottom w:val="none" w:sz="0" w:space="0" w:color="auto"/>
        <w:right w:val="none" w:sz="0" w:space="0" w:color="auto"/>
      </w:divBdr>
    </w:div>
    <w:div w:id="1095786852">
      <w:bodyDiv w:val="1"/>
      <w:marLeft w:val="0"/>
      <w:marRight w:val="0"/>
      <w:marTop w:val="0"/>
      <w:marBottom w:val="0"/>
      <w:divBdr>
        <w:top w:val="none" w:sz="0" w:space="0" w:color="auto"/>
        <w:left w:val="none" w:sz="0" w:space="0" w:color="auto"/>
        <w:bottom w:val="none" w:sz="0" w:space="0" w:color="auto"/>
        <w:right w:val="none" w:sz="0" w:space="0" w:color="auto"/>
      </w:divBdr>
    </w:div>
    <w:div w:id="1110708047">
      <w:bodyDiv w:val="1"/>
      <w:marLeft w:val="0"/>
      <w:marRight w:val="0"/>
      <w:marTop w:val="0"/>
      <w:marBottom w:val="0"/>
      <w:divBdr>
        <w:top w:val="none" w:sz="0" w:space="0" w:color="auto"/>
        <w:left w:val="none" w:sz="0" w:space="0" w:color="auto"/>
        <w:bottom w:val="none" w:sz="0" w:space="0" w:color="auto"/>
        <w:right w:val="none" w:sz="0" w:space="0" w:color="auto"/>
      </w:divBdr>
    </w:div>
    <w:div w:id="1136220831">
      <w:bodyDiv w:val="1"/>
      <w:marLeft w:val="0"/>
      <w:marRight w:val="0"/>
      <w:marTop w:val="0"/>
      <w:marBottom w:val="0"/>
      <w:divBdr>
        <w:top w:val="none" w:sz="0" w:space="0" w:color="auto"/>
        <w:left w:val="none" w:sz="0" w:space="0" w:color="auto"/>
        <w:bottom w:val="none" w:sz="0" w:space="0" w:color="auto"/>
        <w:right w:val="none" w:sz="0" w:space="0" w:color="auto"/>
      </w:divBdr>
    </w:div>
    <w:div w:id="1164667569">
      <w:bodyDiv w:val="1"/>
      <w:marLeft w:val="0"/>
      <w:marRight w:val="0"/>
      <w:marTop w:val="0"/>
      <w:marBottom w:val="0"/>
      <w:divBdr>
        <w:top w:val="none" w:sz="0" w:space="0" w:color="auto"/>
        <w:left w:val="none" w:sz="0" w:space="0" w:color="auto"/>
        <w:bottom w:val="none" w:sz="0" w:space="0" w:color="auto"/>
        <w:right w:val="none" w:sz="0" w:space="0" w:color="auto"/>
      </w:divBdr>
    </w:div>
    <w:div w:id="1333071752">
      <w:bodyDiv w:val="1"/>
      <w:marLeft w:val="0"/>
      <w:marRight w:val="0"/>
      <w:marTop w:val="0"/>
      <w:marBottom w:val="0"/>
      <w:divBdr>
        <w:top w:val="none" w:sz="0" w:space="0" w:color="auto"/>
        <w:left w:val="none" w:sz="0" w:space="0" w:color="auto"/>
        <w:bottom w:val="none" w:sz="0" w:space="0" w:color="auto"/>
        <w:right w:val="none" w:sz="0" w:space="0" w:color="auto"/>
      </w:divBdr>
    </w:div>
    <w:div w:id="1333409742">
      <w:bodyDiv w:val="1"/>
      <w:marLeft w:val="0"/>
      <w:marRight w:val="0"/>
      <w:marTop w:val="0"/>
      <w:marBottom w:val="0"/>
      <w:divBdr>
        <w:top w:val="none" w:sz="0" w:space="0" w:color="auto"/>
        <w:left w:val="none" w:sz="0" w:space="0" w:color="auto"/>
        <w:bottom w:val="none" w:sz="0" w:space="0" w:color="auto"/>
        <w:right w:val="none" w:sz="0" w:space="0" w:color="auto"/>
      </w:divBdr>
    </w:div>
    <w:div w:id="141277019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97844734">
      <w:bodyDiv w:val="1"/>
      <w:marLeft w:val="0"/>
      <w:marRight w:val="0"/>
      <w:marTop w:val="0"/>
      <w:marBottom w:val="0"/>
      <w:divBdr>
        <w:top w:val="none" w:sz="0" w:space="0" w:color="auto"/>
        <w:left w:val="none" w:sz="0" w:space="0" w:color="auto"/>
        <w:bottom w:val="none" w:sz="0" w:space="0" w:color="auto"/>
        <w:right w:val="none" w:sz="0" w:space="0" w:color="auto"/>
      </w:divBdr>
    </w:div>
    <w:div w:id="1741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ata.vietstock.vn/ket-qua-giao-dich/vietn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28D7-A682-4BB4-B914-75FC6FE9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10</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 Tran Thi Anh [DFVN]</dc:creator>
  <cp:lastModifiedBy>Tram, Tran Thi Anh [DFVN]</cp:lastModifiedBy>
  <cp:revision>6</cp:revision>
  <dcterms:created xsi:type="dcterms:W3CDTF">2020-02-26T10:07:00Z</dcterms:created>
  <dcterms:modified xsi:type="dcterms:W3CDTF">2020-03-12T09:34:00Z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ff152ac7d8046f49e466a0650911e14.psdsxs" Id="Rb368bed7755d4a38" /></Relationships>
</file>