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14f80d79042641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59A5553B"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E03D4B">
        <w:rPr>
          <w:rFonts w:ascii="Times New Roman" w:hAnsi="Times New Roman"/>
          <w:b/>
          <w:i/>
          <w:sz w:val="24"/>
          <w:szCs w:val="24"/>
          <w:lang w:val="nl-NL"/>
        </w:rPr>
        <w:t>I</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FE45BB">
        <w:rPr>
          <w:rFonts w:ascii="Times New Roman" w:hAnsi="Times New Roman"/>
          <w:b/>
          <w:i/>
          <w:sz w:val="24"/>
          <w:szCs w:val="24"/>
          <w:lang w:val="nl-NL"/>
        </w:rPr>
        <w:t>1</w:t>
      </w:r>
      <w:r w:rsidRPr="00A90AB7">
        <w:rPr>
          <w:rFonts w:ascii="Times New Roman" w:hAnsi="Times New Roman"/>
          <w:b/>
          <w:i/>
          <w:sz w:val="24"/>
          <w:szCs w:val="24"/>
          <w:lang w:val="nl-NL"/>
        </w:rPr>
        <w:t>)</w:t>
      </w:r>
    </w:p>
    <w:p w14:paraId="57F92425" w14:textId="7341B26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I. Thông tin chung về Quỹ</w:t>
      </w:r>
      <w:r w:rsidR="00494F7E" w:rsidRPr="00A90AB7">
        <w:rPr>
          <w:rFonts w:ascii="Times New Roman" w:hAnsi="Times New Roman"/>
          <w:b/>
          <w:sz w:val="24"/>
          <w:szCs w:val="24"/>
          <w:lang w:val="nl-NL"/>
        </w:rPr>
        <w:t xml:space="preserve"> Đầu Tư Tăng Trường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77777777" w:rsidR="00BE6F63" w:rsidRPr="00E0347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0347F">
        <w:rPr>
          <w:rFonts w:ascii="Times New Roman" w:hAnsi="Times New Roman"/>
          <w:b/>
          <w:sz w:val="24"/>
          <w:szCs w:val="24"/>
          <w:lang w:val="nl-NL"/>
        </w:rPr>
        <w:t>1. Mục tiêu của Quỹ:</w:t>
      </w:r>
    </w:p>
    <w:p w14:paraId="16E22ECA" w14:textId="77777777" w:rsidR="007A2D4E" w:rsidRPr="00E0347F"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E0347F">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E0347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0347F">
        <w:rPr>
          <w:rFonts w:ascii="Times New Roman" w:hAnsi="Times New Roman"/>
          <w:b/>
          <w:sz w:val="24"/>
          <w:szCs w:val="24"/>
          <w:lang w:val="nl-NL"/>
        </w:rPr>
        <w:t>2. Hiệu quả hoạt động của Quỹ:</w:t>
      </w:r>
    </w:p>
    <w:p w14:paraId="1FF4C847" w14:textId="444685D7" w:rsidR="00BE6F63"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E0347F">
        <w:rPr>
          <w:rFonts w:ascii="Times New Roman" w:hAnsi="Times New Roman"/>
          <w:sz w:val="24"/>
          <w:szCs w:val="24"/>
          <w:lang w:val="nl-NL"/>
        </w:rPr>
        <w:t>T</w:t>
      </w:r>
      <w:r w:rsidR="00BE6F63" w:rsidRPr="00E0347F">
        <w:rPr>
          <w:rFonts w:ascii="Times New Roman" w:hAnsi="Times New Roman"/>
          <w:sz w:val="24"/>
          <w:szCs w:val="24"/>
          <w:lang w:val="nl-NL"/>
        </w:rPr>
        <w:t>ính đến</w:t>
      </w:r>
      <w:r w:rsidR="001B0B30" w:rsidRPr="00E0347F">
        <w:rPr>
          <w:rFonts w:ascii="Times New Roman" w:hAnsi="Times New Roman"/>
          <w:sz w:val="24"/>
          <w:szCs w:val="24"/>
          <w:lang w:val="nl-NL"/>
        </w:rPr>
        <w:t xml:space="preserve"> cuối</w:t>
      </w:r>
      <w:r w:rsidR="00BE6F63" w:rsidRPr="00E0347F">
        <w:rPr>
          <w:rFonts w:ascii="Times New Roman" w:hAnsi="Times New Roman"/>
          <w:sz w:val="24"/>
          <w:szCs w:val="24"/>
          <w:lang w:val="nl-NL"/>
        </w:rPr>
        <w:t xml:space="preserve"> kỳ báo cáo, thay đổi giá trị tài sản ròng (NAV) của Quỹ là</w:t>
      </w:r>
      <w:r w:rsidRPr="00E0347F">
        <w:rPr>
          <w:rFonts w:ascii="Times New Roman" w:hAnsi="Times New Roman"/>
          <w:sz w:val="24"/>
          <w:szCs w:val="24"/>
          <w:lang w:val="nl-NL"/>
        </w:rPr>
        <w:t xml:space="preserve"> </w:t>
      </w:r>
      <w:r w:rsidR="00D806C4" w:rsidRPr="00E0347F">
        <w:rPr>
          <w:rFonts w:ascii="Times New Roman" w:hAnsi="Times New Roman"/>
          <w:sz w:val="24"/>
          <w:szCs w:val="24"/>
          <w:lang w:val="nl-NL"/>
        </w:rPr>
        <w:t>12.12</w:t>
      </w:r>
      <w:r w:rsidR="007B289D" w:rsidRPr="00E0347F">
        <w:rPr>
          <w:rFonts w:ascii="Times New Roman" w:hAnsi="Times New Roman"/>
          <w:sz w:val="24"/>
          <w:szCs w:val="24"/>
          <w:lang w:val="nl-NL"/>
        </w:rPr>
        <w:t>%</w:t>
      </w:r>
      <w:r w:rsidR="00BE6F63" w:rsidRPr="00E0347F">
        <w:rPr>
          <w:rFonts w:ascii="Times New Roman" w:hAnsi="Times New Roman"/>
          <w:sz w:val="24"/>
          <w:szCs w:val="24"/>
          <w:lang w:val="nl-NL"/>
        </w:rPr>
        <w:t xml:space="preserve"> so với giá trị tài sản ròng của quỹ đầu kỳ báo cáo.</w:t>
      </w:r>
    </w:p>
    <w:p w14:paraId="0CB40711" w14:textId="77777777" w:rsidR="00BE6F63" w:rsidRPr="00E0347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0347F">
        <w:rPr>
          <w:rFonts w:ascii="Times New Roman" w:hAnsi="Times New Roman"/>
          <w:b/>
          <w:sz w:val="24"/>
          <w:szCs w:val="24"/>
          <w:lang w:val="nl-NL"/>
        </w:rPr>
        <w:t>3. Chính sách và chiến lược đầu tư của Quỹ:</w:t>
      </w:r>
    </w:p>
    <w:p w14:paraId="771CF4A5"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E0347F">
        <w:rPr>
          <w:rFonts w:ascii="Times New Roman" w:hAnsi="Times New Roman"/>
          <w:b/>
          <w:sz w:val="24"/>
          <w:szCs w:val="24"/>
          <w:lang w:val="nl-NL"/>
        </w:rPr>
        <w:t>Chiến lược đầu tư:</w:t>
      </w:r>
    </w:p>
    <w:p w14:paraId="2CEA67E4"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r w:rsidRPr="00C43F33">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37A06D1F"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Điều kiện lựa chọn công ty như sau:</w:t>
      </w:r>
    </w:p>
    <w:p w14:paraId="20870931"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Là công ty trong nhóm dẫn đầu ngành nghề kinh doanh</w:t>
      </w:r>
    </w:p>
    <w:p w14:paraId="777868DA"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tình trạng tài chính lành mạnh</w:t>
      </w:r>
    </w:p>
    <w:p w14:paraId="615B5B0B"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dòng tiền ổn định, chất lượng tài sản tốt</w:t>
      </w:r>
    </w:p>
    <w:p w14:paraId="08C0ABE9"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hệ thống quản trị doanh nghiệp tin cậy.</w:t>
      </w:r>
    </w:p>
    <w:p w14:paraId="628FC73C"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bookmarkEnd w:id="1"/>
    <w:p w14:paraId="60A1F577"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4052CDE4"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Tiền gửi có kỳ hạn tại các ngân hàng thương mại theo quy định của pháp luật về ngân hàng;</w:t>
      </w:r>
    </w:p>
    <w:p w14:paraId="43B180BD" w14:textId="77777777" w:rsidR="007A2D4E" w:rsidRPr="00C43F33" w:rsidRDefault="007A2D4E" w:rsidP="007A2D4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2" w:name="_Ref521351471"/>
      <w:r w:rsidRPr="00C43F33">
        <w:rPr>
          <w:rFonts w:ascii="Times New Roman" w:hAnsi="Times New Roman"/>
          <w:sz w:val="24"/>
          <w:szCs w:val="24"/>
          <w:lang w:val="nl-NL"/>
        </w:rPr>
        <w:t>Ngoại tệ, công cụ thị trường tiền tệ bao gồm giấy tờ có giá, công cụ chuyển nhượng theo quy định của pháp luật liên quan;</w:t>
      </w:r>
      <w:bookmarkEnd w:id="2"/>
    </w:p>
    <w:p w14:paraId="0BA4B57E" w14:textId="77777777" w:rsidR="007A2D4E" w:rsidRPr="00C43F33" w:rsidRDefault="007A2D4E" w:rsidP="007A2D4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r w:rsidRPr="00C43F33">
        <w:rPr>
          <w:rFonts w:ascii="Times New Roman" w:hAnsi="Times New Roman"/>
          <w:sz w:val="24"/>
          <w:szCs w:val="24"/>
          <w:lang w:val="nl-NL"/>
        </w:rPr>
        <w:t>Trái phiếu Chính phủ, trái phiếu được Chính phủ bảo lãnh, trái phiếu chính quyền địa phương;</w:t>
      </w:r>
    </w:p>
    <w:p w14:paraId="48D36CA7" w14:textId="77777777" w:rsidR="007A2D4E" w:rsidRPr="00C43F33" w:rsidRDefault="007A2D4E" w:rsidP="007A2D4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3" w:name="_Ref521351480"/>
      <w:r w:rsidRPr="00C43F33">
        <w:rPr>
          <w:rFonts w:ascii="Times New Roman" w:hAnsi="Times New Roman"/>
          <w:sz w:val="24"/>
          <w:szCs w:val="24"/>
          <w:lang w:val="nl-NL"/>
        </w:rPr>
        <w:t>Cổ phiếu niêm yết, cổ phiếu đăng ký giao dịch, trái phiếu niêm yết của các tổ chức phát hành hoạt động theo pháp luật Việt Nam;</w:t>
      </w:r>
      <w:bookmarkEnd w:id="3"/>
    </w:p>
    <w:p w14:paraId="71FC2040" w14:textId="77777777" w:rsidR="007A2D4E" w:rsidRPr="00C43F33" w:rsidRDefault="007A2D4E" w:rsidP="007A2D4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4" w:name="_Ref521351501"/>
      <w:r w:rsidRPr="00C43F33">
        <w:rPr>
          <w:rFonts w:ascii="Times New Roman" w:hAnsi="Times New Roman"/>
          <w:sz w:val="24"/>
          <w:szCs w:val="24"/>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bookmarkEnd w:id="4"/>
    </w:p>
    <w:p w14:paraId="706E326E" w14:textId="77777777" w:rsidR="007A2D4E" w:rsidRPr="00C43F33" w:rsidRDefault="007A2D4E" w:rsidP="007A2D4E">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và</w:t>
      </w:r>
    </w:p>
    <w:p w14:paraId="4E91977A" w14:textId="77777777" w:rsidR="007A2D4E" w:rsidRPr="00C43F33" w:rsidRDefault="007A2D4E" w:rsidP="007A2D4E">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426D045A"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Chứng khoán phái sinh niêm yết, giao dịch tại các Sở Giao dịch Chứng khoán và chỉ nhằm mục tiêu phòng ngừa rủi ro;</w:t>
      </w:r>
    </w:p>
    <w:p w14:paraId="6B4CD326"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Quyền phát sinh gắn liền với chứng khoán mà Quỹ đang nắm giữ.</w:t>
      </w:r>
    </w:p>
    <w:p w14:paraId="7D4D4C91"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197F48F2" w14:textId="77777777" w:rsidR="007A2D4E" w:rsidRPr="00C43F33" w:rsidRDefault="007A2D4E" w:rsidP="007A2D4E">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7A2D4E" w:rsidRPr="00C43F33" w14:paraId="01D0DA2D" w14:textId="77777777" w:rsidTr="00E0347F">
        <w:trPr>
          <w:trHeight w:val="507"/>
        </w:trPr>
        <w:tc>
          <w:tcPr>
            <w:tcW w:w="4140" w:type="dxa"/>
            <w:shd w:val="clear" w:color="auto" w:fill="D9D9D9" w:themeFill="background1" w:themeFillShade="D9"/>
          </w:tcPr>
          <w:p w14:paraId="431E1F8A" w14:textId="77777777" w:rsidR="007A2D4E" w:rsidRPr="00C43F33" w:rsidRDefault="007A2D4E" w:rsidP="00E0347F">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75ACD0BD" w14:textId="77777777" w:rsidR="007A2D4E" w:rsidRPr="00C43F33" w:rsidRDefault="007A2D4E" w:rsidP="00E0347F">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7A2D4E" w:rsidRPr="00C43F33" w14:paraId="58577B4A" w14:textId="77777777" w:rsidTr="00E0347F">
        <w:trPr>
          <w:trHeight w:val="260"/>
        </w:trPr>
        <w:tc>
          <w:tcPr>
            <w:tcW w:w="4140" w:type="dxa"/>
          </w:tcPr>
          <w:p w14:paraId="444E9909" w14:textId="77777777" w:rsidR="007A2D4E" w:rsidRPr="00C43F33" w:rsidRDefault="007A2D4E" w:rsidP="00E0347F">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1651B9F4" w14:textId="77777777" w:rsidR="007A2D4E" w:rsidRPr="00C43F33" w:rsidRDefault="007A2D4E" w:rsidP="00E0347F">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7A2D4E" w:rsidRPr="00C43F33" w14:paraId="01E11F12" w14:textId="77777777" w:rsidTr="00E0347F">
        <w:trPr>
          <w:trHeight w:val="507"/>
        </w:trPr>
        <w:tc>
          <w:tcPr>
            <w:tcW w:w="4140" w:type="dxa"/>
          </w:tcPr>
          <w:p w14:paraId="2F21A1D2" w14:textId="77777777" w:rsidR="007A2D4E" w:rsidRPr="00C43F33" w:rsidRDefault="007A2D4E" w:rsidP="00E0347F">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3849CA42" w14:textId="77777777" w:rsidR="007A2D4E" w:rsidRPr="00C43F33" w:rsidRDefault="007A2D4E" w:rsidP="00E0347F">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7A2D4E" w:rsidRPr="00C43F33" w14:paraId="24B617A9" w14:textId="77777777" w:rsidTr="00E0347F">
        <w:trPr>
          <w:trHeight w:val="760"/>
        </w:trPr>
        <w:tc>
          <w:tcPr>
            <w:tcW w:w="4140" w:type="dxa"/>
          </w:tcPr>
          <w:p w14:paraId="3471A7E4" w14:textId="77777777" w:rsidR="007A2D4E" w:rsidRPr="00C43F33" w:rsidRDefault="007A2D4E" w:rsidP="00E0347F">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742B212" w14:textId="77777777" w:rsidR="007A2D4E" w:rsidRPr="00C43F33" w:rsidRDefault="007A2D4E" w:rsidP="00E0347F">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78B66DEE" w14:textId="77777777" w:rsidR="007A2D4E" w:rsidRPr="00C43F33" w:rsidRDefault="007A2D4E" w:rsidP="007A2D4E">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4. Phân loại Quỹ:</w:t>
      </w:r>
    </w:p>
    <w:p w14:paraId="7DF2A06F"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được thành lập tại Việt Nam dưới hình thức Quỹ mở theo Giấy chứng nhận thành lập Quỹ mở số 34/GCN-UBCK do Ủy ban Chứng khoán Nhà nước cấp ngày 03 tháng 01 năm 2019.</w:t>
      </w:r>
    </w:p>
    <w:p w14:paraId="6001AD78"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77777777" w:rsidR="00BE6F63" w:rsidRPr="00E0347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0347F">
        <w:rPr>
          <w:rFonts w:ascii="Times New Roman" w:hAnsi="Times New Roman"/>
          <w:b/>
          <w:sz w:val="24"/>
          <w:szCs w:val="24"/>
          <w:lang w:val="nl-NL"/>
        </w:rPr>
        <w:t>6. Mức độ rủi ro ngắn hạn (thấp, trung bình, cao):</w:t>
      </w:r>
    </w:p>
    <w:p w14:paraId="1D9C6E04"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E0347F">
        <w:rPr>
          <w:rFonts w:ascii="Times New Roman" w:hAnsi="Times New Roman"/>
          <w:sz w:val="24"/>
          <w:szCs w:val="24"/>
          <w:lang w:val="nl-NL"/>
        </w:rPr>
        <w:t>Mức độ rủi ro ngắn hạn trung bình.</w:t>
      </w:r>
      <w:r w:rsidRPr="00C43F33">
        <w:rPr>
          <w:rFonts w:ascii="Times New Roman" w:hAnsi="Times New Roman"/>
          <w:sz w:val="24"/>
          <w:szCs w:val="24"/>
          <w:lang w:val="nl-NL"/>
        </w:rPr>
        <w:t xml:space="preserve"> </w:t>
      </w:r>
    </w:p>
    <w:p w14:paraId="153551D8"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39917C66"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3C1B9E63" w14:textId="77777777" w:rsidR="00A90AB7" w:rsidRPr="00A90AB7" w:rsidRDefault="00A90AB7" w:rsidP="00087AE7">
      <w:pPr>
        <w:shd w:val="clear" w:color="auto" w:fill="FFFFFF"/>
        <w:tabs>
          <w:tab w:val="left" w:pos="540"/>
        </w:tabs>
        <w:spacing w:before="120" w:after="0" w:line="240" w:lineRule="auto"/>
        <w:jc w:val="both"/>
        <w:rPr>
          <w:rFonts w:ascii="Times New Roman" w:hAnsi="Times New Roman"/>
          <w:sz w:val="24"/>
          <w:szCs w:val="24"/>
          <w:lang w:val="nl-NL"/>
        </w:rPr>
      </w:pPr>
    </w:p>
    <w:p w14:paraId="12C124B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lastRenderedPageBreak/>
        <w:t>7. Thời điểm bắt đầu hoạt động của Quỹ:</w:t>
      </w:r>
    </w:p>
    <w:p w14:paraId="16A9C2F8" w14:textId="2F89994C"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p>
    <w:p w14:paraId="09A952B4" w14:textId="26D81FBB" w:rsidR="00BE6F63" w:rsidRPr="00E0347F"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E0347F">
        <w:rPr>
          <w:rFonts w:ascii="Times New Roman" w:hAnsi="Times New Roman"/>
          <w:b/>
          <w:sz w:val="24"/>
          <w:szCs w:val="24"/>
          <w:lang w:val="nl-NL"/>
        </w:rPr>
        <w:t>8. Quy mô Quỹ tại thời điểm báo cáo</w:t>
      </w:r>
    </w:p>
    <w:p w14:paraId="3FD6761E" w14:textId="594EF5A3"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E0347F">
        <w:rPr>
          <w:rFonts w:ascii="Times New Roman" w:hAnsi="Times New Roman"/>
          <w:sz w:val="24"/>
          <w:szCs w:val="24"/>
          <w:lang w:val="nl-NL"/>
        </w:rPr>
        <w:t>Tại ngày 3</w:t>
      </w:r>
      <w:r w:rsidR="00E630D3" w:rsidRPr="00E0347F">
        <w:rPr>
          <w:rFonts w:ascii="Times New Roman" w:hAnsi="Times New Roman"/>
          <w:sz w:val="24"/>
          <w:szCs w:val="24"/>
          <w:lang w:val="nl-NL"/>
        </w:rPr>
        <w:t>1</w:t>
      </w:r>
      <w:r w:rsidRPr="00E0347F">
        <w:rPr>
          <w:rFonts w:ascii="Times New Roman" w:hAnsi="Times New Roman"/>
          <w:sz w:val="24"/>
          <w:szCs w:val="24"/>
          <w:lang w:val="nl-NL"/>
        </w:rPr>
        <w:t xml:space="preserve"> tháng </w:t>
      </w:r>
      <w:r w:rsidR="000D074B" w:rsidRPr="00E0347F">
        <w:rPr>
          <w:rFonts w:ascii="Times New Roman" w:hAnsi="Times New Roman"/>
          <w:sz w:val="24"/>
          <w:szCs w:val="24"/>
          <w:lang w:val="nl-NL"/>
        </w:rPr>
        <w:t>03</w:t>
      </w:r>
      <w:r w:rsidRPr="00E0347F">
        <w:rPr>
          <w:rFonts w:ascii="Times New Roman" w:hAnsi="Times New Roman"/>
          <w:sz w:val="24"/>
          <w:szCs w:val="24"/>
          <w:lang w:val="nl-NL"/>
        </w:rPr>
        <w:t xml:space="preserve"> năm 20</w:t>
      </w:r>
      <w:r w:rsidR="0001588B" w:rsidRPr="00E0347F">
        <w:rPr>
          <w:rFonts w:ascii="Times New Roman" w:hAnsi="Times New Roman"/>
          <w:sz w:val="24"/>
          <w:szCs w:val="24"/>
          <w:lang w:val="nl-NL"/>
        </w:rPr>
        <w:t>2</w:t>
      </w:r>
      <w:r w:rsidR="000D074B" w:rsidRPr="00E0347F">
        <w:rPr>
          <w:rFonts w:ascii="Times New Roman" w:hAnsi="Times New Roman"/>
          <w:sz w:val="24"/>
          <w:szCs w:val="24"/>
          <w:lang w:val="nl-NL"/>
        </w:rPr>
        <w:t>1</w:t>
      </w:r>
      <w:r w:rsidRPr="00E0347F">
        <w:rPr>
          <w:rFonts w:ascii="Times New Roman" w:hAnsi="Times New Roman"/>
          <w:sz w:val="24"/>
          <w:szCs w:val="24"/>
          <w:lang w:val="nl-NL"/>
        </w:rPr>
        <w:t xml:space="preserve">, số lượng Chứng chỉ </w:t>
      </w:r>
      <w:r w:rsidR="008F2B2D" w:rsidRPr="00E0347F">
        <w:rPr>
          <w:rFonts w:ascii="Times New Roman" w:hAnsi="Times New Roman"/>
          <w:sz w:val="24"/>
          <w:szCs w:val="24"/>
          <w:lang w:val="nl-NL"/>
        </w:rPr>
        <w:t>Q</w:t>
      </w:r>
      <w:r w:rsidRPr="00E0347F">
        <w:rPr>
          <w:rFonts w:ascii="Times New Roman" w:hAnsi="Times New Roman"/>
          <w:sz w:val="24"/>
          <w:szCs w:val="24"/>
          <w:lang w:val="nl-NL"/>
        </w:rPr>
        <w:t xml:space="preserve">uỹ (“CCQ”) đang lưu hành của Quỹ là </w:t>
      </w:r>
      <w:r w:rsidR="001B0B30" w:rsidRPr="00E0347F">
        <w:rPr>
          <w:rFonts w:ascii="Times New Roman" w:hAnsi="Times New Roman"/>
          <w:sz w:val="24"/>
          <w:szCs w:val="24"/>
          <w:lang w:val="nl-NL"/>
        </w:rPr>
        <w:t xml:space="preserve"> </w:t>
      </w:r>
      <w:r w:rsidR="000600E0" w:rsidRPr="00E0347F">
        <w:rPr>
          <w:rFonts w:ascii="Times New Roman" w:hAnsi="Times New Roman"/>
          <w:sz w:val="24"/>
          <w:szCs w:val="24"/>
          <w:lang w:val="nl-NL"/>
        </w:rPr>
        <w:t xml:space="preserve"> </w:t>
      </w:r>
      <w:r w:rsidR="00B17BB1" w:rsidRPr="00E0347F">
        <w:rPr>
          <w:rFonts w:ascii="Times New Roman" w:hAnsi="Times New Roman"/>
          <w:sz w:val="24"/>
          <w:szCs w:val="24"/>
          <w:lang w:val="nl-NL"/>
        </w:rPr>
        <w:t xml:space="preserve"> 8,454,971.98 </w:t>
      </w:r>
      <w:r w:rsidRPr="00E0347F">
        <w:rPr>
          <w:rFonts w:ascii="Times New Roman" w:hAnsi="Times New Roman"/>
          <w:sz w:val="24"/>
          <w:szCs w:val="24"/>
          <w:lang w:val="nl-NL"/>
        </w:rPr>
        <w:t xml:space="preserve">CCQ, tương đương với quy mô vốn của Quỹ theo mệnh giá là </w:t>
      </w:r>
      <w:r w:rsidR="001B0B30" w:rsidRPr="00E0347F">
        <w:rPr>
          <w:rFonts w:ascii="Times New Roman" w:hAnsi="Times New Roman"/>
          <w:sz w:val="24"/>
          <w:szCs w:val="24"/>
          <w:lang w:val="nl-NL"/>
        </w:rPr>
        <w:t xml:space="preserve"> </w:t>
      </w:r>
      <w:r w:rsidR="00B17BB1" w:rsidRPr="00E0347F">
        <w:rPr>
          <w:rFonts w:ascii="Times New Roman" w:hAnsi="Times New Roman"/>
          <w:sz w:val="24"/>
          <w:szCs w:val="24"/>
          <w:lang w:val="nl-NL"/>
        </w:rPr>
        <w:t xml:space="preserve"> 84,549,719,800</w:t>
      </w:r>
      <w:r w:rsidRPr="00E0347F">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E0347F">
        <w:rPr>
          <w:rFonts w:ascii="Times New Roman" w:hAnsi="Times New Roman"/>
          <w:b/>
          <w:sz w:val="24"/>
          <w:szCs w:val="24"/>
          <w:lang w:val="nl-NL"/>
        </w:rPr>
        <w:t>10. Chính sách phân phối lợi nhuận của Quỹ:</w:t>
      </w:r>
    </w:p>
    <w:p w14:paraId="7D046A97" w14:textId="77777777" w:rsidR="005523A8" w:rsidRPr="00A90AB7" w:rsidRDefault="005523A8" w:rsidP="005523A8">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A90AB7" w:rsidDel="00091CAB">
        <w:rPr>
          <w:rFonts w:ascii="Times New Roman" w:hAnsi="Times New Roman"/>
          <w:sz w:val="24"/>
          <w:szCs w:val="24"/>
          <w:lang w:val="nl-NL"/>
        </w:rPr>
        <w:t xml:space="preserve"> </w:t>
      </w:r>
    </w:p>
    <w:p w14:paraId="2D7A0F21" w14:textId="77777777" w:rsidR="005523A8" w:rsidRPr="00A90AB7" w:rsidRDefault="005523A8" w:rsidP="005523A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chỉ xem xét việc phân phối lợi nhuận từ các nguồn và với các điều kiện sau đây:</w:t>
      </w:r>
    </w:p>
    <w:p w14:paraId="3EA32A99" w14:textId="77777777" w:rsidR="005523A8" w:rsidRPr="00A90AB7" w:rsidRDefault="005523A8" w:rsidP="005523A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a) Lợi nhuận lũy kế của Quỹ cho đến cuối Năm tài chính mà Công ty Quản lý Quỹ đề xuất phân phối lợi nhuận phải dương sau khi trừ đi các chi phí phát sinh trong quá trình hoạt động theo quy định.</w:t>
      </w:r>
    </w:p>
    <w:p w14:paraId="14A5FF9C" w14:textId="77777777" w:rsidR="005523A8" w:rsidRPr="00A90AB7" w:rsidRDefault="005523A8" w:rsidP="005523A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 Nguồn chia là từ lợi nhuận đã thực hiện của Quỹ trong quá trình hoạt động.</w:t>
      </w:r>
    </w:p>
    <w:p w14:paraId="3F4BB6D9" w14:textId="77777777" w:rsidR="005523A8" w:rsidRPr="00A90AB7" w:rsidRDefault="005523A8" w:rsidP="005523A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 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56B27EFE" w14:textId="77777777" w:rsidR="005523A8" w:rsidRPr="00A90AB7" w:rsidRDefault="005523A8" w:rsidP="005523A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d) Lợi nhuận phân chia được trích từ nguồn lợi nhuận để lại của Quỹ.</w:t>
      </w:r>
    </w:p>
    <w:p w14:paraId="18BEC026" w14:textId="77777777" w:rsidR="005523A8" w:rsidRPr="00A90AB7" w:rsidRDefault="005523A8" w:rsidP="005523A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e) 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65DE043" w:rsidR="00494F7E" w:rsidRPr="00A90AB7"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2DA7A2D4"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E0347F">
        <w:rPr>
          <w:rFonts w:ascii="Times New Roman" w:hAnsi="Times New Roman"/>
          <w:b/>
          <w:sz w:val="24"/>
          <w:szCs w:val="24"/>
          <w:lang w:val="nl-NL"/>
        </w:rPr>
        <w:t xml:space="preserve">1. </w:t>
      </w:r>
      <w:r w:rsidR="00BE6F63" w:rsidRPr="00E0347F">
        <w:rPr>
          <w:rFonts w:ascii="Times New Roman" w:hAnsi="Times New Roman"/>
          <w:b/>
          <w:sz w:val="24"/>
          <w:szCs w:val="24"/>
          <w:lang w:val="nl-NL"/>
        </w:rPr>
        <w:t>Cơ cấu tài sản quỹ (N: Đến thời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61D709EA"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E630D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B17BB1">
              <w:rPr>
                <w:rFonts w:ascii="Times New Roman" w:eastAsia="Times New Roman" w:hAnsi="Times New Roman"/>
                <w:b/>
                <w:sz w:val="24"/>
                <w:szCs w:val="24"/>
                <w:lang w:val="nl-NL"/>
              </w:rPr>
              <w:t>1</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6CFB25F2"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E630D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0E2E3940"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31/</w:t>
            </w:r>
            <w:r w:rsidR="00B17BB1">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F92921" w:rsidRPr="004647B9" w14:paraId="24D2596E" w14:textId="77777777" w:rsidTr="00E0347F">
        <w:tc>
          <w:tcPr>
            <w:tcW w:w="2134" w:type="pct"/>
            <w:shd w:val="clear" w:color="auto" w:fill="auto"/>
            <w:vAlign w:val="center"/>
          </w:tcPr>
          <w:p w14:paraId="33FCFD60" w14:textId="6918A882" w:rsidR="00F92921" w:rsidRPr="004647B9" w:rsidRDefault="00F92921" w:rsidP="00F9292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vAlign w:val="center"/>
          </w:tcPr>
          <w:p w14:paraId="0B91117D" w14:textId="679D6D4C" w:rsidR="00F92921" w:rsidRPr="00C5765C" w:rsidRDefault="00F92921" w:rsidP="00F92921">
            <w:pPr>
              <w:tabs>
                <w:tab w:val="left" w:pos="540"/>
              </w:tabs>
              <w:spacing w:before="120" w:after="0" w:line="240" w:lineRule="auto"/>
              <w:jc w:val="center"/>
              <w:rPr>
                <w:rFonts w:ascii="Times New Roman" w:eastAsia="Times New Roman" w:hAnsi="Times New Roman"/>
                <w:sz w:val="24"/>
                <w:szCs w:val="24"/>
                <w:lang w:val="nl-NL"/>
              </w:rPr>
            </w:pPr>
            <w:r w:rsidRPr="00F92921">
              <w:rPr>
                <w:rFonts w:ascii="Times New Roman" w:eastAsia="Times New Roman" w:hAnsi="Times New Roman"/>
                <w:sz w:val="24"/>
                <w:szCs w:val="24"/>
                <w:lang w:val="nl-NL"/>
              </w:rPr>
              <w:t>91.69%</w:t>
            </w:r>
          </w:p>
        </w:tc>
        <w:tc>
          <w:tcPr>
            <w:tcW w:w="971" w:type="pct"/>
            <w:shd w:val="clear" w:color="auto" w:fill="auto"/>
            <w:vAlign w:val="center"/>
          </w:tcPr>
          <w:p w14:paraId="57589212" w14:textId="76F61E71" w:rsidR="00F92921" w:rsidRPr="00F92921" w:rsidRDefault="00F92921" w:rsidP="00F92921">
            <w:pPr>
              <w:tabs>
                <w:tab w:val="left" w:pos="540"/>
              </w:tabs>
              <w:spacing w:before="120" w:after="0" w:line="240" w:lineRule="auto"/>
              <w:jc w:val="center"/>
              <w:rPr>
                <w:rFonts w:ascii="Times New Roman" w:eastAsia="Times New Roman" w:hAnsi="Times New Roman"/>
                <w:sz w:val="24"/>
                <w:szCs w:val="24"/>
                <w:lang w:val="nl-NL"/>
              </w:rPr>
            </w:pPr>
            <w:r w:rsidRPr="00F92921">
              <w:rPr>
                <w:rFonts w:ascii="Times New Roman" w:eastAsia="Times New Roman" w:hAnsi="Times New Roman"/>
                <w:sz w:val="24"/>
                <w:szCs w:val="24"/>
                <w:lang w:val="nl-NL"/>
              </w:rPr>
              <w:t>79.20%</w:t>
            </w:r>
          </w:p>
        </w:tc>
        <w:tc>
          <w:tcPr>
            <w:tcW w:w="923" w:type="pct"/>
            <w:shd w:val="clear" w:color="auto" w:fill="auto"/>
            <w:vAlign w:val="center"/>
          </w:tcPr>
          <w:p w14:paraId="7BE89613" w14:textId="618F4A7B" w:rsidR="00F92921" w:rsidRPr="004647B9" w:rsidRDefault="00F92921" w:rsidP="00F92921">
            <w:pPr>
              <w:tabs>
                <w:tab w:val="left" w:pos="540"/>
              </w:tabs>
              <w:spacing w:before="120" w:after="0" w:line="240" w:lineRule="auto"/>
              <w:jc w:val="center"/>
              <w:rPr>
                <w:rFonts w:ascii="Times New Roman" w:eastAsia="Times New Roman" w:hAnsi="Times New Roman"/>
                <w:sz w:val="24"/>
                <w:szCs w:val="24"/>
                <w:lang w:val="nl-NL"/>
              </w:rPr>
            </w:pPr>
            <w:r w:rsidRPr="00F92921">
              <w:rPr>
                <w:rFonts w:ascii="Times New Roman" w:eastAsia="Times New Roman" w:hAnsi="Times New Roman"/>
                <w:sz w:val="24"/>
                <w:szCs w:val="24"/>
                <w:lang w:val="nl-NL"/>
              </w:rPr>
              <w:t>92,33%</w:t>
            </w:r>
          </w:p>
        </w:tc>
      </w:tr>
      <w:tr w:rsidR="00F92921" w:rsidRPr="004647B9" w14:paraId="4D0C35D7" w14:textId="77777777" w:rsidTr="00E0347F">
        <w:tc>
          <w:tcPr>
            <w:tcW w:w="2134" w:type="pct"/>
            <w:shd w:val="clear" w:color="auto" w:fill="auto"/>
            <w:vAlign w:val="center"/>
          </w:tcPr>
          <w:p w14:paraId="34BD949F" w14:textId="720577E3" w:rsidR="00F92921" w:rsidRPr="004647B9" w:rsidRDefault="00F92921" w:rsidP="00F9292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các khoản tương đương tiền</w:t>
            </w:r>
          </w:p>
        </w:tc>
        <w:tc>
          <w:tcPr>
            <w:tcW w:w="971" w:type="pct"/>
            <w:shd w:val="clear" w:color="auto" w:fill="auto"/>
            <w:vAlign w:val="center"/>
          </w:tcPr>
          <w:p w14:paraId="67FB726C" w14:textId="38504ECD" w:rsidR="00F92921" w:rsidRPr="00C5765C" w:rsidRDefault="00F92921" w:rsidP="00F92921">
            <w:pPr>
              <w:tabs>
                <w:tab w:val="left" w:pos="540"/>
              </w:tabs>
              <w:spacing w:before="120" w:after="0" w:line="240" w:lineRule="auto"/>
              <w:jc w:val="center"/>
              <w:rPr>
                <w:rFonts w:ascii="Times New Roman" w:eastAsia="Times New Roman" w:hAnsi="Times New Roman"/>
                <w:sz w:val="24"/>
                <w:szCs w:val="24"/>
                <w:lang w:val="nl-NL"/>
              </w:rPr>
            </w:pPr>
            <w:r w:rsidRPr="00F92921">
              <w:rPr>
                <w:rFonts w:ascii="Times New Roman" w:eastAsia="Times New Roman" w:hAnsi="Times New Roman"/>
                <w:sz w:val="24"/>
                <w:szCs w:val="24"/>
                <w:lang w:val="nl-NL"/>
              </w:rPr>
              <w:t>8.30%</w:t>
            </w:r>
          </w:p>
        </w:tc>
        <w:tc>
          <w:tcPr>
            <w:tcW w:w="971" w:type="pct"/>
            <w:shd w:val="clear" w:color="auto" w:fill="auto"/>
            <w:vAlign w:val="center"/>
          </w:tcPr>
          <w:p w14:paraId="34619132" w14:textId="254D2A73" w:rsidR="00F92921" w:rsidRPr="00F92921" w:rsidRDefault="00F92921" w:rsidP="00F92921">
            <w:pPr>
              <w:tabs>
                <w:tab w:val="left" w:pos="540"/>
              </w:tabs>
              <w:spacing w:before="120" w:after="0" w:line="240" w:lineRule="auto"/>
              <w:jc w:val="center"/>
              <w:rPr>
                <w:rFonts w:ascii="Times New Roman" w:eastAsia="Times New Roman" w:hAnsi="Times New Roman"/>
                <w:sz w:val="24"/>
                <w:szCs w:val="24"/>
                <w:lang w:val="nl-NL"/>
              </w:rPr>
            </w:pPr>
            <w:r w:rsidRPr="00F92921">
              <w:rPr>
                <w:rFonts w:ascii="Times New Roman" w:eastAsia="Times New Roman" w:hAnsi="Times New Roman"/>
                <w:sz w:val="24"/>
                <w:szCs w:val="24"/>
                <w:lang w:val="nl-NL"/>
              </w:rPr>
              <w:t>19.82%</w:t>
            </w:r>
          </w:p>
        </w:tc>
        <w:tc>
          <w:tcPr>
            <w:tcW w:w="923" w:type="pct"/>
            <w:shd w:val="clear" w:color="auto" w:fill="auto"/>
            <w:vAlign w:val="center"/>
          </w:tcPr>
          <w:p w14:paraId="1E0BFD96" w14:textId="028BE84D" w:rsidR="00F92921" w:rsidRPr="004647B9" w:rsidRDefault="00F92921" w:rsidP="00F92921">
            <w:pPr>
              <w:tabs>
                <w:tab w:val="left" w:pos="540"/>
              </w:tabs>
              <w:spacing w:before="120" w:after="0" w:line="240" w:lineRule="auto"/>
              <w:jc w:val="center"/>
              <w:rPr>
                <w:rFonts w:ascii="Times New Roman" w:eastAsia="Times New Roman" w:hAnsi="Times New Roman"/>
                <w:sz w:val="24"/>
                <w:szCs w:val="24"/>
                <w:lang w:val="nl-NL"/>
              </w:rPr>
            </w:pPr>
            <w:r w:rsidRPr="00F92921">
              <w:rPr>
                <w:rFonts w:ascii="Times New Roman" w:eastAsia="Times New Roman" w:hAnsi="Times New Roman"/>
                <w:sz w:val="24"/>
                <w:szCs w:val="24"/>
                <w:lang w:val="nl-NL"/>
              </w:rPr>
              <w:t>7,4%</w:t>
            </w:r>
          </w:p>
        </w:tc>
      </w:tr>
      <w:tr w:rsidR="00F92921" w:rsidRPr="004647B9" w14:paraId="2B8F060E" w14:textId="77777777" w:rsidTr="00E0347F">
        <w:tc>
          <w:tcPr>
            <w:tcW w:w="2134" w:type="pct"/>
            <w:shd w:val="clear" w:color="auto" w:fill="auto"/>
            <w:vAlign w:val="center"/>
          </w:tcPr>
          <w:p w14:paraId="687A447B" w14:textId="56D5388C" w:rsidR="00F92921" w:rsidRPr="004647B9" w:rsidRDefault="00F92921" w:rsidP="00F92921">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vAlign w:val="center"/>
          </w:tcPr>
          <w:p w14:paraId="35A2188C" w14:textId="6CFBEB62" w:rsidR="00F92921" w:rsidRPr="00C5765C" w:rsidRDefault="00F92921" w:rsidP="00F92921">
            <w:pPr>
              <w:tabs>
                <w:tab w:val="left" w:pos="540"/>
              </w:tabs>
              <w:spacing w:before="120" w:after="0" w:line="240" w:lineRule="auto"/>
              <w:jc w:val="center"/>
              <w:rPr>
                <w:rFonts w:ascii="Times New Roman" w:eastAsia="Times New Roman" w:hAnsi="Times New Roman"/>
                <w:sz w:val="24"/>
                <w:szCs w:val="24"/>
                <w:lang w:val="nl-NL"/>
              </w:rPr>
            </w:pPr>
            <w:r w:rsidRPr="00F92921">
              <w:rPr>
                <w:rFonts w:ascii="Times New Roman" w:eastAsia="Times New Roman" w:hAnsi="Times New Roman"/>
                <w:sz w:val="24"/>
                <w:szCs w:val="24"/>
                <w:lang w:val="nl-NL"/>
              </w:rPr>
              <w:t>0.01%</w:t>
            </w:r>
          </w:p>
        </w:tc>
        <w:tc>
          <w:tcPr>
            <w:tcW w:w="971" w:type="pct"/>
            <w:shd w:val="clear" w:color="auto" w:fill="auto"/>
            <w:vAlign w:val="center"/>
          </w:tcPr>
          <w:p w14:paraId="269481FC" w14:textId="6FA4D2DD" w:rsidR="00F92921" w:rsidRPr="00C5765C" w:rsidRDefault="00F92921" w:rsidP="00F92921">
            <w:pPr>
              <w:tabs>
                <w:tab w:val="left" w:pos="540"/>
              </w:tabs>
              <w:spacing w:before="120" w:after="0" w:line="240" w:lineRule="auto"/>
              <w:jc w:val="center"/>
              <w:rPr>
                <w:rFonts w:ascii="Times New Roman" w:eastAsia="Times New Roman" w:hAnsi="Times New Roman"/>
                <w:sz w:val="24"/>
                <w:szCs w:val="24"/>
                <w:lang w:val="nl-NL"/>
              </w:rPr>
            </w:pPr>
            <w:r w:rsidRPr="00F92921">
              <w:rPr>
                <w:rFonts w:ascii="Times New Roman" w:eastAsia="Times New Roman" w:hAnsi="Times New Roman"/>
                <w:sz w:val="24"/>
                <w:szCs w:val="24"/>
                <w:lang w:val="nl-NL"/>
              </w:rPr>
              <w:t>0.98%</w:t>
            </w:r>
          </w:p>
        </w:tc>
        <w:tc>
          <w:tcPr>
            <w:tcW w:w="923" w:type="pct"/>
            <w:shd w:val="clear" w:color="auto" w:fill="auto"/>
            <w:vAlign w:val="center"/>
          </w:tcPr>
          <w:p w14:paraId="2A4B7332" w14:textId="57D30039" w:rsidR="00F92921" w:rsidRPr="004647B9" w:rsidRDefault="00F92921" w:rsidP="00F92921">
            <w:pPr>
              <w:tabs>
                <w:tab w:val="left" w:pos="540"/>
              </w:tabs>
              <w:spacing w:before="120" w:after="0" w:line="240" w:lineRule="auto"/>
              <w:jc w:val="center"/>
              <w:rPr>
                <w:rFonts w:ascii="Times New Roman" w:eastAsia="Times New Roman" w:hAnsi="Times New Roman"/>
                <w:sz w:val="24"/>
                <w:szCs w:val="24"/>
                <w:lang w:val="nl-NL"/>
              </w:rPr>
            </w:pPr>
            <w:r w:rsidRPr="00F92921">
              <w:rPr>
                <w:rFonts w:ascii="Times New Roman" w:eastAsia="Times New Roman" w:hAnsi="Times New Roman"/>
                <w:sz w:val="24"/>
                <w:szCs w:val="24"/>
                <w:lang w:val="nl-NL"/>
              </w:rPr>
              <w:t>0,27%</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r w:rsidRPr="004647B9">
              <w:rPr>
                <w:rFonts w:ascii="Times New Roman" w:eastAsia="Times New Roman" w:hAnsi="Times New Roman"/>
                <w:b/>
                <w:sz w:val="24"/>
                <w:szCs w:val="24"/>
                <w:lang w:val="nl-NL"/>
              </w:rPr>
              <w:t>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7878CEE6"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c>
          <w:tcPr>
            <w:tcW w:w="923" w:type="pct"/>
            <w:shd w:val="clear" w:color="auto" w:fill="auto"/>
            <w:vAlign w:val="center"/>
          </w:tcPr>
          <w:p w14:paraId="1F0DDFA4" w14:textId="676E6881"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r>
    </w:tbl>
    <w:p w14:paraId="149D95F6" w14:textId="3F822BFE" w:rsidR="00DC1FD1" w:rsidRPr="004647B9"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4647B9">
        <w:rPr>
          <w:rFonts w:ascii="Times New Roman" w:hAnsi="Times New Roman"/>
          <w:i/>
          <w:sz w:val="24"/>
          <w:szCs w:val="24"/>
          <w:lang w:val="nl-NL"/>
        </w:rPr>
        <w:lastRenderedPageBreak/>
        <w:t>Chú thích:</w:t>
      </w:r>
    </w:p>
    <w:p w14:paraId="7FDE8BCE" w14:textId="5ABAB934" w:rsidR="00DC1FD1" w:rsidRPr="004647B9"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4647B9">
        <w:rPr>
          <w:rFonts w:ascii="Times New Roman" w:hAnsi="Times New Roman"/>
          <w:i/>
          <w:sz w:val="24"/>
          <w:szCs w:val="24"/>
          <w:lang w:val="nl-NL"/>
        </w:rPr>
        <w:t>- N/A</w:t>
      </w:r>
      <w:r w:rsidRPr="004647B9">
        <w:rPr>
          <w:rFonts w:ascii="Times New Roman" w:hAnsi="Times New Roman"/>
          <w:i/>
          <w:sz w:val="24"/>
          <w:szCs w:val="24"/>
          <w:vertAlign w:val="superscript"/>
          <w:lang w:val="nl-NL"/>
        </w:rPr>
        <w:t>(1)</w:t>
      </w:r>
      <w:r w:rsidRPr="004647B9">
        <w:rPr>
          <w:rFonts w:ascii="Times New Roman" w:hAnsi="Times New Roman"/>
          <w:i/>
          <w:sz w:val="24"/>
          <w:szCs w:val="24"/>
          <w:lang w:val="nl-NL"/>
        </w:rPr>
        <w:t>: Quỹ mới thành lập và đi vào hoạt động từ ngày 03 tháng 01 năm 2019, chỉ tiêu không đủ dữ liệu để tính toán.</w:t>
      </w:r>
    </w:p>
    <w:p w14:paraId="30C96321" w14:textId="38ECBF4E" w:rsidR="00756A76" w:rsidRPr="004647B9"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FA0348">
        <w:rPr>
          <w:rFonts w:ascii="Times New Roman" w:hAnsi="Times New Roman"/>
          <w:b/>
          <w:sz w:val="24"/>
          <w:szCs w:val="24"/>
          <w:lang w:val="nl-NL"/>
        </w:rPr>
        <w:t>2</w:t>
      </w:r>
      <w:r w:rsidRPr="00E0347F">
        <w:rPr>
          <w:rFonts w:ascii="Times New Roman" w:hAnsi="Times New Roman"/>
          <w:b/>
          <w:sz w:val="24"/>
          <w:szCs w:val="24"/>
          <w:lang w:val="nl-NL"/>
        </w:rPr>
        <w:t>. Chi tiết chỉ tiêu hoạt động (N: Đến thời điểm báo cáo):</w:t>
      </w:r>
    </w:p>
    <w:tbl>
      <w:tblPr>
        <w:tblW w:w="935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000"/>
        <w:gridCol w:w="1743"/>
        <w:gridCol w:w="1902"/>
        <w:gridCol w:w="1712"/>
      </w:tblGrid>
      <w:tr w:rsidR="00B17BB1" w:rsidRPr="00A90AB7" w14:paraId="21034AD9" w14:textId="77777777" w:rsidTr="00E0347F">
        <w:tc>
          <w:tcPr>
            <w:tcW w:w="2137" w:type="pct"/>
            <w:shd w:val="clear" w:color="auto" w:fill="auto"/>
            <w:vAlign w:val="center"/>
          </w:tcPr>
          <w:p w14:paraId="1D5B1819" w14:textId="77777777" w:rsidR="00B17BB1" w:rsidRPr="004647B9" w:rsidRDefault="00B17BB1" w:rsidP="00B17BB1">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31" w:type="pct"/>
            <w:shd w:val="clear" w:color="auto" w:fill="auto"/>
            <w:vAlign w:val="center"/>
          </w:tcPr>
          <w:p w14:paraId="4AB83160" w14:textId="215D889F"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tc>
        <w:tc>
          <w:tcPr>
            <w:tcW w:w="1016" w:type="pct"/>
            <w:shd w:val="clear" w:color="auto" w:fill="auto"/>
            <w:vAlign w:val="center"/>
          </w:tcPr>
          <w:p w14:paraId="174B15DB" w14:textId="1E64847E"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tc>
        <w:tc>
          <w:tcPr>
            <w:tcW w:w="915" w:type="pct"/>
            <w:shd w:val="clear" w:color="auto" w:fill="auto"/>
            <w:vAlign w:val="center"/>
          </w:tcPr>
          <w:p w14:paraId="36922E34" w14:textId="38AA98C5"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31/</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19</w:t>
            </w:r>
          </w:p>
        </w:tc>
      </w:tr>
      <w:tr w:rsidR="003011A5" w:rsidRPr="00A90AB7" w14:paraId="1582E00A" w14:textId="77777777" w:rsidTr="00E0347F">
        <w:trPr>
          <w:trHeight w:val="648"/>
        </w:trPr>
        <w:tc>
          <w:tcPr>
            <w:tcW w:w="2137" w:type="pct"/>
            <w:shd w:val="clear" w:color="auto" w:fill="auto"/>
            <w:vAlign w:val="center"/>
          </w:tcPr>
          <w:p w14:paraId="165B2506" w14:textId="77777777" w:rsidR="003011A5" w:rsidRPr="00A90AB7" w:rsidRDefault="003011A5" w:rsidP="003011A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31" w:type="pct"/>
            <w:shd w:val="clear" w:color="auto" w:fill="auto"/>
            <w:vAlign w:val="center"/>
          </w:tcPr>
          <w:p w14:paraId="41A827E1" w14:textId="0CF052B1" w:rsidR="003011A5" w:rsidRPr="003011A5" w:rsidRDefault="003011A5" w:rsidP="00E0347F">
            <w:pPr>
              <w:tabs>
                <w:tab w:val="left" w:pos="540"/>
              </w:tabs>
              <w:spacing w:before="120" w:after="120" w:line="240" w:lineRule="auto"/>
              <w:ind w:left="58" w:right="58"/>
              <w:jc w:val="center"/>
              <w:rPr>
                <w:rFonts w:ascii="Times New Roman" w:hAnsi="Times New Roman"/>
                <w:sz w:val="24"/>
                <w:szCs w:val="24"/>
              </w:rPr>
            </w:pPr>
            <w:r w:rsidRPr="003011A5">
              <w:rPr>
                <w:rFonts w:ascii="Times New Roman" w:hAnsi="Times New Roman"/>
                <w:sz w:val="24"/>
                <w:szCs w:val="24"/>
              </w:rPr>
              <w:t>115,039,248,475</w:t>
            </w:r>
          </w:p>
        </w:tc>
        <w:tc>
          <w:tcPr>
            <w:tcW w:w="1016" w:type="pct"/>
            <w:shd w:val="clear" w:color="auto" w:fill="auto"/>
            <w:vAlign w:val="center"/>
          </w:tcPr>
          <w:p w14:paraId="6B0EAE44" w14:textId="510AA2C7" w:rsidR="003011A5" w:rsidRPr="003011A5" w:rsidRDefault="003011A5" w:rsidP="00E0347F">
            <w:pPr>
              <w:tabs>
                <w:tab w:val="left" w:pos="540"/>
              </w:tabs>
              <w:spacing w:before="120" w:after="120" w:line="240" w:lineRule="auto"/>
              <w:ind w:left="58" w:right="58"/>
              <w:jc w:val="center"/>
              <w:rPr>
                <w:rFonts w:ascii="Times New Roman" w:hAnsi="Times New Roman"/>
                <w:sz w:val="24"/>
                <w:szCs w:val="24"/>
              </w:rPr>
            </w:pPr>
            <w:r w:rsidRPr="003011A5">
              <w:rPr>
                <w:rFonts w:ascii="Times New Roman" w:hAnsi="Times New Roman"/>
                <w:sz w:val="24"/>
                <w:szCs w:val="24"/>
              </w:rPr>
              <w:t>58,778,186,978</w:t>
            </w:r>
          </w:p>
        </w:tc>
        <w:tc>
          <w:tcPr>
            <w:tcW w:w="915" w:type="pct"/>
            <w:shd w:val="clear" w:color="auto" w:fill="auto"/>
            <w:vAlign w:val="center"/>
          </w:tcPr>
          <w:p w14:paraId="2D404424" w14:textId="5B53F6E1" w:rsidR="003011A5" w:rsidRPr="003011A5" w:rsidRDefault="003011A5" w:rsidP="00E0347F">
            <w:pPr>
              <w:tabs>
                <w:tab w:val="left" w:pos="540"/>
              </w:tabs>
              <w:spacing w:before="120" w:after="120" w:line="240" w:lineRule="auto"/>
              <w:ind w:left="58" w:right="58"/>
              <w:jc w:val="center"/>
              <w:rPr>
                <w:rFonts w:ascii="Times New Roman" w:hAnsi="Times New Roman"/>
                <w:sz w:val="24"/>
                <w:szCs w:val="24"/>
              </w:rPr>
            </w:pPr>
            <w:r w:rsidRPr="003011A5">
              <w:rPr>
                <w:rFonts w:ascii="Times New Roman" w:hAnsi="Times New Roman"/>
                <w:sz w:val="24"/>
                <w:szCs w:val="24"/>
              </w:rPr>
              <w:t>80</w:t>
            </w:r>
            <w:r w:rsidR="00E0347F">
              <w:rPr>
                <w:rFonts w:ascii="Times New Roman" w:hAnsi="Times New Roman"/>
                <w:sz w:val="24"/>
                <w:szCs w:val="24"/>
              </w:rPr>
              <w:t>,</w:t>
            </w:r>
            <w:r w:rsidRPr="003011A5">
              <w:rPr>
                <w:rFonts w:ascii="Times New Roman" w:hAnsi="Times New Roman"/>
                <w:sz w:val="24"/>
                <w:szCs w:val="24"/>
              </w:rPr>
              <w:t>871</w:t>
            </w:r>
            <w:r w:rsidR="00E0347F">
              <w:rPr>
                <w:rFonts w:ascii="Times New Roman" w:hAnsi="Times New Roman"/>
                <w:sz w:val="24"/>
                <w:szCs w:val="24"/>
              </w:rPr>
              <w:t>,</w:t>
            </w:r>
            <w:r w:rsidRPr="003011A5">
              <w:rPr>
                <w:rFonts w:ascii="Times New Roman" w:hAnsi="Times New Roman"/>
                <w:sz w:val="24"/>
                <w:szCs w:val="24"/>
              </w:rPr>
              <w:t>239</w:t>
            </w:r>
            <w:r w:rsidR="00E0347F">
              <w:rPr>
                <w:rFonts w:ascii="Times New Roman" w:hAnsi="Times New Roman"/>
                <w:sz w:val="24"/>
                <w:szCs w:val="24"/>
              </w:rPr>
              <w:t>,</w:t>
            </w:r>
            <w:r w:rsidRPr="003011A5">
              <w:rPr>
                <w:rFonts w:ascii="Times New Roman" w:hAnsi="Times New Roman"/>
                <w:sz w:val="24"/>
                <w:szCs w:val="24"/>
              </w:rPr>
              <w:t>960</w:t>
            </w:r>
          </w:p>
        </w:tc>
      </w:tr>
      <w:tr w:rsidR="003011A5" w:rsidRPr="00A90AB7" w14:paraId="740B9023" w14:textId="77777777" w:rsidTr="00E0347F">
        <w:trPr>
          <w:trHeight w:val="666"/>
        </w:trPr>
        <w:tc>
          <w:tcPr>
            <w:tcW w:w="2137" w:type="pct"/>
            <w:shd w:val="clear" w:color="auto" w:fill="auto"/>
            <w:vAlign w:val="center"/>
          </w:tcPr>
          <w:p w14:paraId="58D993A2" w14:textId="79C6E65E" w:rsidR="003011A5" w:rsidRPr="00A90AB7" w:rsidRDefault="003011A5" w:rsidP="003011A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31" w:type="pct"/>
            <w:shd w:val="clear" w:color="auto" w:fill="auto"/>
            <w:vAlign w:val="center"/>
          </w:tcPr>
          <w:p w14:paraId="2E0189F1" w14:textId="6B347C91" w:rsidR="003011A5" w:rsidRPr="003011A5" w:rsidRDefault="003011A5" w:rsidP="00E0347F">
            <w:pPr>
              <w:tabs>
                <w:tab w:val="left" w:pos="540"/>
              </w:tabs>
              <w:spacing w:before="120" w:after="120" w:line="240" w:lineRule="auto"/>
              <w:ind w:left="57" w:right="58"/>
              <w:jc w:val="center"/>
              <w:rPr>
                <w:rFonts w:ascii="Times New Roman" w:hAnsi="Times New Roman"/>
                <w:sz w:val="24"/>
                <w:szCs w:val="24"/>
              </w:rPr>
            </w:pPr>
            <w:r w:rsidRPr="003011A5">
              <w:rPr>
                <w:rFonts w:ascii="Times New Roman" w:hAnsi="Times New Roman"/>
                <w:sz w:val="24"/>
                <w:szCs w:val="24"/>
              </w:rPr>
              <w:t>8,454,971.98</w:t>
            </w:r>
          </w:p>
        </w:tc>
        <w:tc>
          <w:tcPr>
            <w:tcW w:w="1016" w:type="pct"/>
            <w:shd w:val="clear" w:color="auto" w:fill="auto"/>
            <w:vAlign w:val="center"/>
          </w:tcPr>
          <w:p w14:paraId="0C159F19" w14:textId="579BBFD5" w:rsidR="003011A5" w:rsidRPr="003011A5" w:rsidRDefault="003011A5" w:rsidP="00E0347F">
            <w:pPr>
              <w:tabs>
                <w:tab w:val="left" w:pos="540"/>
              </w:tabs>
              <w:spacing w:before="120" w:after="120" w:line="240" w:lineRule="auto"/>
              <w:ind w:left="57" w:right="58"/>
              <w:jc w:val="center"/>
              <w:rPr>
                <w:rFonts w:ascii="Times New Roman" w:hAnsi="Times New Roman"/>
                <w:sz w:val="24"/>
                <w:szCs w:val="24"/>
              </w:rPr>
            </w:pPr>
            <w:r w:rsidRPr="003011A5">
              <w:rPr>
                <w:rFonts w:ascii="Times New Roman" w:hAnsi="Times New Roman"/>
                <w:sz w:val="24"/>
                <w:szCs w:val="24"/>
              </w:rPr>
              <w:t>7,839,718.12</w:t>
            </w:r>
          </w:p>
        </w:tc>
        <w:tc>
          <w:tcPr>
            <w:tcW w:w="915" w:type="pct"/>
            <w:shd w:val="clear" w:color="auto" w:fill="auto"/>
            <w:vAlign w:val="center"/>
          </w:tcPr>
          <w:p w14:paraId="34852C91" w14:textId="27A419CA" w:rsidR="003011A5" w:rsidRPr="003011A5" w:rsidRDefault="003011A5" w:rsidP="00E0347F">
            <w:pPr>
              <w:tabs>
                <w:tab w:val="left" w:pos="540"/>
              </w:tabs>
              <w:spacing w:before="120" w:after="120" w:line="240" w:lineRule="auto"/>
              <w:ind w:left="57" w:right="57"/>
              <w:jc w:val="center"/>
              <w:rPr>
                <w:rFonts w:ascii="Times New Roman" w:hAnsi="Times New Roman"/>
                <w:sz w:val="24"/>
                <w:szCs w:val="24"/>
              </w:rPr>
            </w:pPr>
            <w:r w:rsidRPr="003011A5">
              <w:rPr>
                <w:rFonts w:ascii="Times New Roman" w:hAnsi="Times New Roman"/>
                <w:sz w:val="24"/>
                <w:szCs w:val="24"/>
              </w:rPr>
              <w:t>7</w:t>
            </w:r>
            <w:r w:rsidR="00E0347F">
              <w:rPr>
                <w:rFonts w:ascii="Times New Roman" w:hAnsi="Times New Roman"/>
                <w:sz w:val="24"/>
                <w:szCs w:val="24"/>
              </w:rPr>
              <w:t>,</w:t>
            </w:r>
            <w:r w:rsidRPr="003011A5">
              <w:rPr>
                <w:rFonts w:ascii="Times New Roman" w:hAnsi="Times New Roman"/>
                <w:sz w:val="24"/>
                <w:szCs w:val="24"/>
              </w:rPr>
              <w:t>667</w:t>
            </w:r>
            <w:r w:rsidR="00E0347F">
              <w:rPr>
                <w:rFonts w:ascii="Times New Roman" w:hAnsi="Times New Roman"/>
                <w:sz w:val="24"/>
                <w:szCs w:val="24"/>
              </w:rPr>
              <w:t>,</w:t>
            </w:r>
            <w:r w:rsidRPr="003011A5">
              <w:rPr>
                <w:rFonts w:ascii="Times New Roman" w:hAnsi="Times New Roman"/>
                <w:sz w:val="24"/>
                <w:szCs w:val="24"/>
              </w:rPr>
              <w:t>702</w:t>
            </w:r>
            <w:r w:rsidR="00E0347F">
              <w:rPr>
                <w:rFonts w:ascii="Times New Roman" w:hAnsi="Times New Roman"/>
                <w:sz w:val="24"/>
                <w:szCs w:val="24"/>
              </w:rPr>
              <w:t>.</w:t>
            </w:r>
            <w:r w:rsidRPr="003011A5">
              <w:rPr>
                <w:rFonts w:ascii="Times New Roman" w:hAnsi="Times New Roman"/>
                <w:sz w:val="24"/>
                <w:szCs w:val="24"/>
              </w:rPr>
              <w:t>01</w:t>
            </w:r>
          </w:p>
        </w:tc>
      </w:tr>
      <w:tr w:rsidR="003011A5" w:rsidRPr="00A90AB7" w14:paraId="0F7D1AC6" w14:textId="77777777" w:rsidTr="00E0347F">
        <w:tc>
          <w:tcPr>
            <w:tcW w:w="2137" w:type="pct"/>
            <w:shd w:val="clear" w:color="auto" w:fill="auto"/>
            <w:vAlign w:val="center"/>
          </w:tcPr>
          <w:p w14:paraId="7AA58A45" w14:textId="6A161787" w:rsidR="003011A5" w:rsidRPr="00A90AB7" w:rsidRDefault="00E0347F" w:rsidP="003011A5">
            <w:pPr>
              <w:tabs>
                <w:tab w:val="left" w:pos="540"/>
              </w:tabs>
              <w:spacing w:before="120" w:after="120" w:line="240" w:lineRule="auto"/>
              <w:ind w:left="57" w:right="57"/>
              <w:jc w:val="both"/>
              <w:rPr>
                <w:rFonts w:ascii="Times New Roman" w:eastAsia="Times New Roman" w:hAnsi="Times New Roman"/>
                <w:sz w:val="24"/>
                <w:szCs w:val="24"/>
                <w:lang w:val="nl-NL"/>
              </w:rPr>
            </w:pPr>
            <w:r>
              <w:rPr>
                <w:rFonts w:ascii="Times New Roman" w:eastAsia="Times New Roman" w:hAnsi="Times New Roman"/>
                <w:sz w:val="24"/>
                <w:szCs w:val="24"/>
                <w:lang w:val="nl-NL"/>
              </w:rPr>
              <w:t>,</w:t>
            </w:r>
            <w:r w:rsidR="003011A5" w:rsidRPr="00A90AB7">
              <w:rPr>
                <w:rFonts w:ascii="Times New Roman" w:eastAsia="Times New Roman" w:hAnsi="Times New Roman"/>
                <w:sz w:val="24"/>
                <w:szCs w:val="24"/>
                <w:lang w:val="nl-NL"/>
              </w:rPr>
              <w:t>2.3.Giá trị tài sản ròng của một đơn vị Chứng chỉ Quỹ (CCQ)</w:t>
            </w:r>
          </w:p>
        </w:tc>
        <w:tc>
          <w:tcPr>
            <w:tcW w:w="931" w:type="pct"/>
            <w:shd w:val="clear" w:color="auto" w:fill="auto"/>
            <w:vAlign w:val="center"/>
          </w:tcPr>
          <w:p w14:paraId="3BB66723" w14:textId="69FECEAE" w:rsidR="003011A5" w:rsidRPr="003011A5" w:rsidRDefault="003011A5" w:rsidP="00E0347F">
            <w:pPr>
              <w:tabs>
                <w:tab w:val="left" w:pos="540"/>
              </w:tabs>
              <w:spacing w:before="120" w:after="120" w:line="240" w:lineRule="auto"/>
              <w:ind w:left="57" w:right="58"/>
              <w:jc w:val="center"/>
              <w:rPr>
                <w:rFonts w:ascii="Times New Roman" w:hAnsi="Times New Roman"/>
                <w:sz w:val="24"/>
                <w:szCs w:val="24"/>
              </w:rPr>
            </w:pPr>
            <w:r w:rsidRPr="003011A5">
              <w:rPr>
                <w:rFonts w:ascii="Times New Roman" w:hAnsi="Times New Roman"/>
                <w:sz w:val="24"/>
                <w:szCs w:val="24"/>
              </w:rPr>
              <w:t>13,606.10</w:t>
            </w:r>
          </w:p>
        </w:tc>
        <w:tc>
          <w:tcPr>
            <w:tcW w:w="1016" w:type="pct"/>
            <w:shd w:val="clear" w:color="auto" w:fill="auto"/>
            <w:vAlign w:val="center"/>
          </w:tcPr>
          <w:p w14:paraId="5F9F7D1C" w14:textId="4C636EE8" w:rsidR="003011A5" w:rsidRPr="003011A5" w:rsidRDefault="003011A5" w:rsidP="00E0347F">
            <w:pPr>
              <w:tabs>
                <w:tab w:val="left" w:pos="540"/>
              </w:tabs>
              <w:spacing w:before="120" w:after="120" w:line="240" w:lineRule="auto"/>
              <w:ind w:left="57" w:right="58"/>
              <w:jc w:val="center"/>
              <w:rPr>
                <w:rFonts w:ascii="Times New Roman" w:hAnsi="Times New Roman"/>
                <w:sz w:val="24"/>
                <w:szCs w:val="24"/>
              </w:rPr>
            </w:pPr>
            <w:r w:rsidRPr="003011A5">
              <w:rPr>
                <w:rFonts w:ascii="Times New Roman" w:hAnsi="Times New Roman"/>
                <w:sz w:val="24"/>
                <w:szCs w:val="24"/>
              </w:rPr>
              <w:t>7,497.48</w:t>
            </w:r>
          </w:p>
        </w:tc>
        <w:tc>
          <w:tcPr>
            <w:tcW w:w="915" w:type="pct"/>
            <w:shd w:val="clear" w:color="auto" w:fill="auto"/>
            <w:vAlign w:val="center"/>
          </w:tcPr>
          <w:p w14:paraId="048F7B62" w14:textId="333F35F8" w:rsidR="003011A5" w:rsidRPr="003011A5" w:rsidRDefault="003011A5" w:rsidP="00E0347F">
            <w:pPr>
              <w:tabs>
                <w:tab w:val="left" w:pos="540"/>
              </w:tabs>
              <w:spacing w:before="120" w:after="120" w:line="240" w:lineRule="auto"/>
              <w:ind w:left="57" w:right="57"/>
              <w:jc w:val="center"/>
              <w:rPr>
                <w:rFonts w:ascii="Times New Roman" w:hAnsi="Times New Roman"/>
                <w:sz w:val="24"/>
                <w:szCs w:val="24"/>
              </w:rPr>
            </w:pPr>
            <w:r w:rsidRPr="003011A5">
              <w:rPr>
                <w:rFonts w:ascii="Times New Roman" w:hAnsi="Times New Roman"/>
                <w:sz w:val="24"/>
                <w:szCs w:val="24"/>
              </w:rPr>
              <w:t>10</w:t>
            </w:r>
            <w:r w:rsidR="00E0347F">
              <w:rPr>
                <w:rFonts w:ascii="Times New Roman" w:hAnsi="Times New Roman"/>
                <w:sz w:val="24"/>
                <w:szCs w:val="24"/>
              </w:rPr>
              <w:t>,</w:t>
            </w:r>
            <w:r w:rsidRPr="003011A5">
              <w:rPr>
                <w:rFonts w:ascii="Times New Roman" w:hAnsi="Times New Roman"/>
                <w:sz w:val="24"/>
                <w:szCs w:val="24"/>
              </w:rPr>
              <w:t>546</w:t>
            </w:r>
            <w:r w:rsidR="00E0347F">
              <w:rPr>
                <w:rFonts w:ascii="Times New Roman" w:hAnsi="Times New Roman"/>
                <w:sz w:val="24"/>
                <w:szCs w:val="24"/>
              </w:rPr>
              <w:t>.</w:t>
            </w:r>
            <w:r w:rsidRPr="003011A5">
              <w:rPr>
                <w:rFonts w:ascii="Times New Roman" w:hAnsi="Times New Roman"/>
                <w:sz w:val="24"/>
                <w:szCs w:val="24"/>
              </w:rPr>
              <w:t>99</w:t>
            </w:r>
          </w:p>
        </w:tc>
      </w:tr>
      <w:tr w:rsidR="003011A5" w:rsidRPr="00A90AB7" w14:paraId="395AB2AB" w14:textId="77777777" w:rsidTr="00E0347F">
        <w:tc>
          <w:tcPr>
            <w:tcW w:w="2137" w:type="pct"/>
            <w:shd w:val="clear" w:color="auto" w:fill="auto"/>
            <w:vAlign w:val="center"/>
          </w:tcPr>
          <w:p w14:paraId="4D78CBEF" w14:textId="77777777" w:rsidR="003011A5" w:rsidRPr="00A90AB7" w:rsidRDefault="003011A5" w:rsidP="003011A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31" w:type="pct"/>
            <w:shd w:val="clear" w:color="auto" w:fill="auto"/>
            <w:vAlign w:val="center"/>
          </w:tcPr>
          <w:p w14:paraId="2E347DE5" w14:textId="0152B85A" w:rsidR="003011A5" w:rsidRPr="003011A5" w:rsidRDefault="003011A5" w:rsidP="00E0347F">
            <w:pPr>
              <w:tabs>
                <w:tab w:val="left" w:pos="540"/>
              </w:tabs>
              <w:spacing w:before="120" w:after="120" w:line="240" w:lineRule="auto"/>
              <w:ind w:left="57" w:right="58"/>
              <w:jc w:val="center"/>
              <w:rPr>
                <w:rFonts w:ascii="Times New Roman" w:hAnsi="Times New Roman"/>
                <w:sz w:val="24"/>
                <w:szCs w:val="24"/>
              </w:rPr>
            </w:pPr>
            <w:r w:rsidRPr="003011A5">
              <w:rPr>
                <w:rFonts w:ascii="Times New Roman" w:hAnsi="Times New Roman"/>
                <w:sz w:val="24"/>
                <w:szCs w:val="24"/>
              </w:rPr>
              <w:t>13,749.63</w:t>
            </w:r>
          </w:p>
        </w:tc>
        <w:tc>
          <w:tcPr>
            <w:tcW w:w="1016" w:type="pct"/>
            <w:shd w:val="clear" w:color="auto" w:fill="auto"/>
            <w:vAlign w:val="center"/>
          </w:tcPr>
          <w:p w14:paraId="2ECE8D83" w14:textId="39959C43" w:rsidR="003011A5" w:rsidRPr="003011A5" w:rsidRDefault="003011A5" w:rsidP="00E0347F">
            <w:pPr>
              <w:tabs>
                <w:tab w:val="left" w:pos="540"/>
              </w:tabs>
              <w:spacing w:before="120" w:after="120" w:line="240" w:lineRule="auto"/>
              <w:ind w:left="57" w:right="58"/>
              <w:jc w:val="center"/>
              <w:rPr>
                <w:rFonts w:ascii="Times New Roman" w:hAnsi="Times New Roman"/>
                <w:sz w:val="24"/>
                <w:szCs w:val="24"/>
              </w:rPr>
            </w:pPr>
            <w:r w:rsidRPr="003011A5">
              <w:rPr>
                <w:rFonts w:ascii="Times New Roman" w:hAnsi="Times New Roman"/>
                <w:sz w:val="24"/>
                <w:szCs w:val="24"/>
              </w:rPr>
              <w:t>10,692.26</w:t>
            </w:r>
          </w:p>
        </w:tc>
        <w:tc>
          <w:tcPr>
            <w:tcW w:w="915" w:type="pct"/>
            <w:shd w:val="clear" w:color="auto" w:fill="auto"/>
            <w:vAlign w:val="center"/>
          </w:tcPr>
          <w:p w14:paraId="4517B3D4" w14:textId="6C918CBA" w:rsidR="003011A5" w:rsidRPr="003011A5" w:rsidRDefault="003011A5" w:rsidP="00E0347F">
            <w:pPr>
              <w:tabs>
                <w:tab w:val="left" w:pos="540"/>
              </w:tabs>
              <w:spacing w:before="120" w:after="120" w:line="240" w:lineRule="auto"/>
              <w:ind w:left="57" w:right="57"/>
              <w:jc w:val="center"/>
              <w:rPr>
                <w:rFonts w:ascii="Times New Roman" w:hAnsi="Times New Roman"/>
                <w:sz w:val="24"/>
                <w:szCs w:val="24"/>
              </w:rPr>
            </w:pPr>
            <w:r w:rsidRPr="003011A5">
              <w:rPr>
                <w:rFonts w:ascii="Times New Roman" w:hAnsi="Times New Roman"/>
                <w:sz w:val="24"/>
                <w:szCs w:val="24"/>
              </w:rPr>
              <w:t>10</w:t>
            </w:r>
            <w:r w:rsidR="00E0347F">
              <w:rPr>
                <w:rFonts w:ascii="Times New Roman" w:hAnsi="Times New Roman"/>
                <w:sz w:val="24"/>
                <w:szCs w:val="24"/>
              </w:rPr>
              <w:t>,</w:t>
            </w:r>
            <w:r w:rsidRPr="003011A5">
              <w:rPr>
                <w:rFonts w:ascii="Times New Roman" w:hAnsi="Times New Roman"/>
                <w:sz w:val="24"/>
                <w:szCs w:val="24"/>
              </w:rPr>
              <w:t>935</w:t>
            </w:r>
            <w:r w:rsidR="00E0347F">
              <w:rPr>
                <w:rFonts w:ascii="Times New Roman" w:hAnsi="Times New Roman"/>
                <w:sz w:val="24"/>
                <w:szCs w:val="24"/>
              </w:rPr>
              <w:t>.</w:t>
            </w:r>
            <w:r w:rsidRPr="003011A5">
              <w:rPr>
                <w:rFonts w:ascii="Times New Roman" w:hAnsi="Times New Roman"/>
                <w:sz w:val="24"/>
                <w:szCs w:val="24"/>
              </w:rPr>
              <w:t>86</w:t>
            </w:r>
          </w:p>
        </w:tc>
      </w:tr>
      <w:tr w:rsidR="003011A5" w:rsidRPr="00A90AB7" w14:paraId="3A3FE5B3" w14:textId="77777777" w:rsidTr="00E0347F">
        <w:tc>
          <w:tcPr>
            <w:tcW w:w="2137" w:type="pct"/>
            <w:shd w:val="clear" w:color="auto" w:fill="auto"/>
            <w:vAlign w:val="center"/>
          </w:tcPr>
          <w:p w14:paraId="67851E1D" w14:textId="77777777" w:rsidR="003011A5" w:rsidRPr="00A90AB7" w:rsidRDefault="003011A5" w:rsidP="003011A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31" w:type="pct"/>
            <w:shd w:val="clear" w:color="auto" w:fill="auto"/>
            <w:vAlign w:val="center"/>
          </w:tcPr>
          <w:p w14:paraId="78E13020" w14:textId="676CE00B" w:rsidR="003011A5" w:rsidRPr="003011A5" w:rsidRDefault="003011A5" w:rsidP="00E0347F">
            <w:pPr>
              <w:tabs>
                <w:tab w:val="left" w:pos="540"/>
              </w:tabs>
              <w:spacing w:before="120" w:after="120" w:line="240" w:lineRule="auto"/>
              <w:ind w:left="57" w:right="58"/>
              <w:jc w:val="center"/>
              <w:rPr>
                <w:rFonts w:ascii="Times New Roman" w:hAnsi="Times New Roman"/>
                <w:sz w:val="24"/>
                <w:szCs w:val="24"/>
              </w:rPr>
            </w:pPr>
            <w:r w:rsidRPr="003011A5">
              <w:rPr>
                <w:rFonts w:ascii="Times New Roman" w:hAnsi="Times New Roman"/>
                <w:sz w:val="24"/>
                <w:szCs w:val="24"/>
              </w:rPr>
              <w:t>11,909.83</w:t>
            </w:r>
          </w:p>
        </w:tc>
        <w:tc>
          <w:tcPr>
            <w:tcW w:w="1016" w:type="pct"/>
            <w:shd w:val="clear" w:color="auto" w:fill="auto"/>
            <w:vAlign w:val="center"/>
          </w:tcPr>
          <w:p w14:paraId="7200238C" w14:textId="5051566F" w:rsidR="003011A5" w:rsidRPr="003011A5" w:rsidRDefault="003011A5" w:rsidP="00E0347F">
            <w:pPr>
              <w:tabs>
                <w:tab w:val="left" w:pos="540"/>
              </w:tabs>
              <w:spacing w:before="120" w:after="120" w:line="240" w:lineRule="auto"/>
              <w:ind w:left="57" w:right="58"/>
              <w:jc w:val="center"/>
              <w:rPr>
                <w:rFonts w:ascii="Times New Roman" w:hAnsi="Times New Roman"/>
                <w:sz w:val="24"/>
                <w:szCs w:val="24"/>
              </w:rPr>
            </w:pPr>
            <w:r w:rsidRPr="003011A5">
              <w:rPr>
                <w:rFonts w:ascii="Times New Roman" w:hAnsi="Times New Roman"/>
                <w:sz w:val="24"/>
                <w:szCs w:val="24"/>
              </w:rPr>
              <w:t>7,497.48</w:t>
            </w:r>
          </w:p>
        </w:tc>
        <w:tc>
          <w:tcPr>
            <w:tcW w:w="915" w:type="pct"/>
            <w:shd w:val="clear" w:color="auto" w:fill="auto"/>
            <w:vAlign w:val="center"/>
          </w:tcPr>
          <w:p w14:paraId="0A60AFAB" w14:textId="4A7EE329" w:rsidR="003011A5" w:rsidRPr="003011A5" w:rsidRDefault="003011A5" w:rsidP="00E0347F">
            <w:pPr>
              <w:tabs>
                <w:tab w:val="left" w:pos="540"/>
              </w:tabs>
              <w:spacing w:before="120" w:after="120" w:line="240" w:lineRule="auto"/>
              <w:ind w:left="57" w:right="57"/>
              <w:jc w:val="center"/>
              <w:rPr>
                <w:rFonts w:ascii="Times New Roman" w:hAnsi="Times New Roman"/>
                <w:sz w:val="24"/>
                <w:szCs w:val="24"/>
              </w:rPr>
            </w:pPr>
            <w:r w:rsidRPr="003011A5">
              <w:rPr>
                <w:rFonts w:ascii="Times New Roman" w:hAnsi="Times New Roman"/>
                <w:sz w:val="24"/>
                <w:szCs w:val="24"/>
              </w:rPr>
              <w:t>9</w:t>
            </w:r>
            <w:r w:rsidR="00E0347F">
              <w:rPr>
                <w:rFonts w:ascii="Times New Roman" w:hAnsi="Times New Roman"/>
                <w:sz w:val="24"/>
                <w:szCs w:val="24"/>
              </w:rPr>
              <w:t>,</w:t>
            </w:r>
            <w:r w:rsidRPr="003011A5">
              <w:rPr>
                <w:rFonts w:ascii="Times New Roman" w:hAnsi="Times New Roman"/>
                <w:sz w:val="24"/>
                <w:szCs w:val="24"/>
              </w:rPr>
              <w:t>991</w:t>
            </w:r>
            <w:r w:rsidR="00E0347F">
              <w:rPr>
                <w:rFonts w:ascii="Times New Roman" w:hAnsi="Times New Roman"/>
                <w:sz w:val="24"/>
                <w:szCs w:val="24"/>
              </w:rPr>
              <w:t>.</w:t>
            </w:r>
            <w:r w:rsidRPr="003011A5">
              <w:rPr>
                <w:rFonts w:ascii="Times New Roman" w:hAnsi="Times New Roman"/>
                <w:sz w:val="24"/>
                <w:szCs w:val="24"/>
              </w:rPr>
              <w:t>19</w:t>
            </w:r>
          </w:p>
        </w:tc>
      </w:tr>
      <w:tr w:rsidR="0001588B" w:rsidRPr="00A90AB7" w14:paraId="680FA9D8" w14:textId="77777777" w:rsidTr="00E0347F">
        <w:tc>
          <w:tcPr>
            <w:tcW w:w="2137" w:type="pct"/>
            <w:shd w:val="clear" w:color="auto" w:fill="auto"/>
            <w:vAlign w:val="center"/>
          </w:tcPr>
          <w:p w14:paraId="405BCECE"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31" w:type="pct"/>
            <w:shd w:val="clear" w:color="auto" w:fill="auto"/>
            <w:vAlign w:val="center"/>
          </w:tcPr>
          <w:p w14:paraId="1D199951" w14:textId="117BB3F2" w:rsidR="0001588B" w:rsidRPr="00631DA1" w:rsidRDefault="0001588B" w:rsidP="00E0347F">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16" w:type="pct"/>
            <w:shd w:val="clear" w:color="auto" w:fill="auto"/>
            <w:vAlign w:val="center"/>
          </w:tcPr>
          <w:p w14:paraId="7A1B8227" w14:textId="5A7AE4BC" w:rsidR="0001588B" w:rsidRPr="00631DA1" w:rsidRDefault="00E0347F" w:rsidP="00E0347F">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915" w:type="pct"/>
            <w:shd w:val="clear" w:color="auto" w:fill="auto"/>
            <w:vAlign w:val="center"/>
          </w:tcPr>
          <w:p w14:paraId="0C5D082F" w14:textId="4B269FD8" w:rsidR="0001588B" w:rsidRPr="00A90AB7" w:rsidRDefault="0001588B" w:rsidP="00E0347F">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E0347F" w:rsidRPr="00A90AB7" w14:paraId="2492316D" w14:textId="77777777" w:rsidTr="00690CD3">
        <w:trPr>
          <w:trHeight w:val="504"/>
        </w:trPr>
        <w:tc>
          <w:tcPr>
            <w:tcW w:w="2137" w:type="pct"/>
            <w:shd w:val="clear" w:color="auto" w:fill="auto"/>
            <w:vAlign w:val="center"/>
          </w:tcPr>
          <w:p w14:paraId="3BF3BB34" w14:textId="77777777" w:rsidR="00E0347F" w:rsidRPr="00A90AB7" w:rsidRDefault="00E0347F" w:rsidP="00E0347F">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31" w:type="pct"/>
            <w:shd w:val="clear" w:color="auto" w:fill="auto"/>
            <w:vAlign w:val="center"/>
          </w:tcPr>
          <w:p w14:paraId="10619DC6" w14:textId="59D35FA3" w:rsidR="00E0347F" w:rsidRPr="00631DA1" w:rsidRDefault="00E0347F" w:rsidP="00690CD3">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16" w:type="pct"/>
            <w:shd w:val="clear" w:color="auto" w:fill="auto"/>
          </w:tcPr>
          <w:p w14:paraId="0BEE6D47" w14:textId="4FA598C0" w:rsidR="00E0347F" w:rsidRPr="00631DA1" w:rsidRDefault="00E0347F" w:rsidP="00690CD3">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915" w:type="pct"/>
            <w:shd w:val="clear" w:color="auto" w:fill="auto"/>
            <w:vAlign w:val="center"/>
          </w:tcPr>
          <w:p w14:paraId="54E3070C" w14:textId="235CFC96" w:rsidR="00E0347F" w:rsidRPr="00A90AB7" w:rsidRDefault="00E0347F" w:rsidP="00690CD3">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E0347F" w:rsidRPr="00A90AB7" w14:paraId="51B49DCF" w14:textId="77777777" w:rsidTr="00E0347F">
        <w:tc>
          <w:tcPr>
            <w:tcW w:w="2137" w:type="pct"/>
            <w:shd w:val="clear" w:color="auto" w:fill="auto"/>
            <w:vAlign w:val="center"/>
          </w:tcPr>
          <w:p w14:paraId="177EE2D0" w14:textId="77777777" w:rsidR="00E0347F" w:rsidRPr="00A90AB7" w:rsidRDefault="00E0347F" w:rsidP="00E0347F">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31" w:type="pct"/>
            <w:shd w:val="clear" w:color="auto" w:fill="auto"/>
            <w:vAlign w:val="center"/>
          </w:tcPr>
          <w:p w14:paraId="79D01296" w14:textId="7902214D" w:rsidR="00E0347F" w:rsidRPr="00631DA1" w:rsidRDefault="00E0347F" w:rsidP="00690CD3">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16" w:type="pct"/>
            <w:shd w:val="clear" w:color="auto" w:fill="auto"/>
          </w:tcPr>
          <w:p w14:paraId="3E65FA34" w14:textId="6A1A5CE2" w:rsidR="00E0347F" w:rsidRPr="00631DA1" w:rsidRDefault="00E0347F" w:rsidP="00690CD3">
            <w:pPr>
              <w:tabs>
                <w:tab w:val="left" w:pos="540"/>
              </w:tabs>
              <w:spacing w:before="120" w:after="120" w:line="240" w:lineRule="auto"/>
              <w:ind w:left="57" w:right="57"/>
              <w:jc w:val="center"/>
              <w:rPr>
                <w:rFonts w:ascii="Times New Roman" w:hAnsi="Times New Roman"/>
                <w:sz w:val="24"/>
                <w:szCs w:val="24"/>
              </w:rPr>
            </w:pPr>
            <w:r w:rsidRPr="00195B99">
              <w:rPr>
                <w:rFonts w:ascii="Times New Roman" w:eastAsia="Times New Roman" w:hAnsi="Times New Roman"/>
                <w:sz w:val="24"/>
                <w:szCs w:val="24"/>
                <w:lang w:val="nl-NL"/>
              </w:rPr>
              <w:t>N/A</w:t>
            </w:r>
            <w:r w:rsidRPr="00195B99">
              <w:rPr>
                <w:rFonts w:ascii="Times New Roman" w:eastAsia="Times New Roman" w:hAnsi="Times New Roman"/>
                <w:sz w:val="24"/>
                <w:szCs w:val="24"/>
                <w:vertAlign w:val="superscript"/>
                <w:lang w:val="nl-NL"/>
              </w:rPr>
              <w:t>(2)</w:t>
            </w:r>
          </w:p>
        </w:tc>
        <w:tc>
          <w:tcPr>
            <w:tcW w:w="915" w:type="pct"/>
            <w:shd w:val="clear" w:color="auto" w:fill="auto"/>
            <w:vAlign w:val="center"/>
          </w:tcPr>
          <w:p w14:paraId="693C8484" w14:textId="61C43F95" w:rsidR="00E0347F" w:rsidRPr="00A90AB7" w:rsidRDefault="00E0347F" w:rsidP="00690CD3">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3011A5" w:rsidRPr="00A90AB7" w14:paraId="3D43ACEE" w14:textId="77777777" w:rsidTr="00E0347F">
        <w:tc>
          <w:tcPr>
            <w:tcW w:w="2137" w:type="pct"/>
            <w:shd w:val="clear" w:color="auto" w:fill="auto"/>
            <w:vAlign w:val="center"/>
          </w:tcPr>
          <w:p w14:paraId="1916F095" w14:textId="77777777" w:rsidR="003011A5" w:rsidRPr="00A90AB7" w:rsidRDefault="003011A5" w:rsidP="003011A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31" w:type="pct"/>
            <w:shd w:val="clear" w:color="auto" w:fill="auto"/>
            <w:vAlign w:val="center"/>
          </w:tcPr>
          <w:p w14:paraId="20184A90" w14:textId="3915DBE4" w:rsidR="003011A5" w:rsidRPr="00E67CAC" w:rsidRDefault="003011A5"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7.75%</w:t>
            </w:r>
          </w:p>
        </w:tc>
        <w:tc>
          <w:tcPr>
            <w:tcW w:w="1016" w:type="pct"/>
            <w:shd w:val="clear" w:color="auto" w:fill="auto"/>
            <w:vAlign w:val="center"/>
          </w:tcPr>
          <w:p w14:paraId="5EF14642" w14:textId="16A17C24" w:rsidR="003011A5" w:rsidRPr="00E67CAC" w:rsidRDefault="003011A5"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-28.17%</w:t>
            </w:r>
          </w:p>
        </w:tc>
        <w:tc>
          <w:tcPr>
            <w:tcW w:w="915" w:type="pct"/>
            <w:shd w:val="clear" w:color="auto" w:fill="auto"/>
            <w:vAlign w:val="center"/>
          </w:tcPr>
          <w:p w14:paraId="69214AE9" w14:textId="4362BB58" w:rsidR="003011A5" w:rsidRPr="00E67CAC" w:rsidRDefault="003011A5"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5</w:t>
            </w:r>
            <w:r w:rsidR="00E0347F">
              <w:rPr>
                <w:rFonts w:ascii="Times New Roman" w:hAnsi="Times New Roman"/>
                <w:sz w:val="24"/>
                <w:szCs w:val="24"/>
              </w:rPr>
              <w:t>.</w:t>
            </w:r>
            <w:r w:rsidRPr="00E67CAC">
              <w:rPr>
                <w:rFonts w:ascii="Times New Roman" w:hAnsi="Times New Roman"/>
                <w:sz w:val="24"/>
                <w:szCs w:val="24"/>
              </w:rPr>
              <w:t>34%</w:t>
            </w:r>
          </w:p>
        </w:tc>
      </w:tr>
      <w:tr w:rsidR="003011A5" w:rsidRPr="00A90AB7" w14:paraId="39E29FC2" w14:textId="77777777" w:rsidTr="00E0347F">
        <w:tc>
          <w:tcPr>
            <w:tcW w:w="2137" w:type="pct"/>
            <w:shd w:val="clear" w:color="auto" w:fill="auto"/>
            <w:vAlign w:val="center"/>
          </w:tcPr>
          <w:p w14:paraId="684DE998" w14:textId="77777777" w:rsidR="003011A5" w:rsidRPr="00A90AB7" w:rsidRDefault="003011A5" w:rsidP="003011A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31" w:type="pct"/>
            <w:shd w:val="clear" w:color="auto" w:fill="auto"/>
            <w:vAlign w:val="center"/>
          </w:tcPr>
          <w:p w14:paraId="100762D5" w14:textId="31095646" w:rsidR="003011A5" w:rsidRPr="00E67CAC" w:rsidRDefault="003011A5"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-0.16%</w:t>
            </w:r>
          </w:p>
        </w:tc>
        <w:tc>
          <w:tcPr>
            <w:tcW w:w="1016" w:type="pct"/>
            <w:shd w:val="clear" w:color="auto" w:fill="auto"/>
            <w:vAlign w:val="center"/>
          </w:tcPr>
          <w:p w14:paraId="06674D77" w14:textId="4E3F8070" w:rsidR="003011A5" w:rsidRPr="00E67CAC" w:rsidRDefault="003011A5"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-22.25%</w:t>
            </w:r>
          </w:p>
        </w:tc>
        <w:tc>
          <w:tcPr>
            <w:tcW w:w="915" w:type="pct"/>
            <w:shd w:val="clear" w:color="auto" w:fill="auto"/>
            <w:vAlign w:val="center"/>
          </w:tcPr>
          <w:p w14:paraId="441377AA" w14:textId="1F96F0E3" w:rsidR="003011A5" w:rsidRPr="00E67CAC" w:rsidRDefault="003011A5"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5</w:t>
            </w:r>
            <w:r w:rsidR="00E0347F">
              <w:rPr>
                <w:rFonts w:ascii="Times New Roman" w:hAnsi="Times New Roman"/>
                <w:sz w:val="24"/>
                <w:szCs w:val="24"/>
              </w:rPr>
              <w:t>.</w:t>
            </w:r>
            <w:r w:rsidRPr="00E67CAC">
              <w:rPr>
                <w:rFonts w:ascii="Times New Roman" w:hAnsi="Times New Roman"/>
                <w:sz w:val="24"/>
                <w:szCs w:val="24"/>
              </w:rPr>
              <w:t>22%</w:t>
            </w:r>
          </w:p>
        </w:tc>
      </w:tr>
      <w:tr w:rsidR="003011A5" w:rsidRPr="00A90AB7" w14:paraId="5D4A2E39" w14:textId="77777777" w:rsidTr="00E0347F">
        <w:tc>
          <w:tcPr>
            <w:tcW w:w="2137" w:type="pct"/>
            <w:shd w:val="clear" w:color="auto" w:fill="auto"/>
            <w:vAlign w:val="center"/>
          </w:tcPr>
          <w:p w14:paraId="461797A3" w14:textId="77777777" w:rsidR="003011A5" w:rsidRPr="00A90AB7" w:rsidRDefault="003011A5" w:rsidP="003011A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31" w:type="pct"/>
            <w:shd w:val="clear" w:color="auto" w:fill="auto"/>
            <w:vAlign w:val="center"/>
          </w:tcPr>
          <w:p w14:paraId="122130F8" w14:textId="3908F5A8" w:rsidR="003011A5" w:rsidRPr="00E67CAC" w:rsidRDefault="003011A5"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5.17%</w:t>
            </w:r>
          </w:p>
        </w:tc>
        <w:tc>
          <w:tcPr>
            <w:tcW w:w="1016" w:type="pct"/>
            <w:shd w:val="clear" w:color="auto" w:fill="auto"/>
            <w:vAlign w:val="center"/>
          </w:tcPr>
          <w:p w14:paraId="1E604B06" w14:textId="27C4EE52" w:rsidR="003011A5" w:rsidRPr="00E67CAC" w:rsidRDefault="003011A5"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-7.07%</w:t>
            </w:r>
          </w:p>
        </w:tc>
        <w:tc>
          <w:tcPr>
            <w:tcW w:w="915" w:type="pct"/>
            <w:shd w:val="clear" w:color="auto" w:fill="auto"/>
            <w:vAlign w:val="center"/>
          </w:tcPr>
          <w:p w14:paraId="6F2AF01B" w14:textId="38676A51" w:rsidR="003011A5" w:rsidRPr="00E67CAC" w:rsidRDefault="003011A5"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0</w:t>
            </w:r>
            <w:r w:rsidR="00E0347F">
              <w:rPr>
                <w:rFonts w:ascii="Times New Roman" w:hAnsi="Times New Roman"/>
                <w:sz w:val="24"/>
                <w:szCs w:val="24"/>
              </w:rPr>
              <w:t>.</w:t>
            </w:r>
            <w:r w:rsidRPr="00E67CAC">
              <w:rPr>
                <w:rFonts w:ascii="Times New Roman" w:hAnsi="Times New Roman"/>
                <w:sz w:val="24"/>
                <w:szCs w:val="24"/>
              </w:rPr>
              <w:t>12%</w:t>
            </w:r>
          </w:p>
        </w:tc>
      </w:tr>
      <w:tr w:rsidR="00E0347F" w:rsidRPr="00A90AB7" w14:paraId="4CC4F0AA" w14:textId="77777777" w:rsidTr="00E0347F">
        <w:tc>
          <w:tcPr>
            <w:tcW w:w="2137" w:type="pct"/>
            <w:shd w:val="clear" w:color="auto" w:fill="auto"/>
            <w:vAlign w:val="center"/>
          </w:tcPr>
          <w:p w14:paraId="01DC28A3" w14:textId="77777777" w:rsidR="00E0347F" w:rsidRPr="00A90AB7" w:rsidRDefault="00E0347F" w:rsidP="00E0347F">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31" w:type="pct"/>
            <w:shd w:val="clear" w:color="auto" w:fill="auto"/>
            <w:vAlign w:val="center"/>
          </w:tcPr>
          <w:p w14:paraId="760FA637" w14:textId="760C6D67" w:rsidR="00E0347F" w:rsidRPr="00631DA1" w:rsidRDefault="00E0347F" w:rsidP="00E0347F">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16" w:type="pct"/>
            <w:shd w:val="clear" w:color="auto" w:fill="auto"/>
          </w:tcPr>
          <w:p w14:paraId="5168843E" w14:textId="766405F3" w:rsidR="00E0347F" w:rsidRPr="00631DA1" w:rsidRDefault="00E0347F" w:rsidP="00E0347F">
            <w:pPr>
              <w:tabs>
                <w:tab w:val="left" w:pos="540"/>
              </w:tabs>
              <w:spacing w:before="120" w:after="120" w:line="240" w:lineRule="auto"/>
              <w:ind w:left="57" w:right="57"/>
              <w:jc w:val="center"/>
              <w:rPr>
                <w:rFonts w:ascii="Times New Roman" w:hAnsi="Times New Roman"/>
                <w:sz w:val="24"/>
                <w:szCs w:val="24"/>
              </w:rPr>
            </w:pPr>
            <w:r w:rsidRPr="00A13DF2">
              <w:rPr>
                <w:rFonts w:ascii="Times New Roman" w:eastAsia="Times New Roman" w:hAnsi="Times New Roman"/>
                <w:sz w:val="24"/>
                <w:szCs w:val="24"/>
                <w:lang w:val="nl-NL"/>
              </w:rPr>
              <w:t>N/A</w:t>
            </w:r>
            <w:r w:rsidRPr="00A13DF2">
              <w:rPr>
                <w:rFonts w:ascii="Times New Roman" w:eastAsia="Times New Roman" w:hAnsi="Times New Roman"/>
                <w:sz w:val="24"/>
                <w:szCs w:val="24"/>
                <w:vertAlign w:val="superscript"/>
                <w:lang w:val="nl-NL"/>
              </w:rPr>
              <w:t>(3)</w:t>
            </w:r>
          </w:p>
        </w:tc>
        <w:tc>
          <w:tcPr>
            <w:tcW w:w="915" w:type="pct"/>
            <w:shd w:val="clear" w:color="auto" w:fill="auto"/>
            <w:vAlign w:val="center"/>
          </w:tcPr>
          <w:p w14:paraId="31A61D75" w14:textId="1D4FEBCB" w:rsidR="00E0347F" w:rsidRPr="00A90AB7" w:rsidRDefault="00E0347F" w:rsidP="00E0347F">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0347F" w:rsidRPr="00A90AB7" w14:paraId="6EAB03D4" w14:textId="77777777" w:rsidTr="00E0347F">
        <w:tc>
          <w:tcPr>
            <w:tcW w:w="2137" w:type="pct"/>
            <w:shd w:val="clear" w:color="auto" w:fill="auto"/>
            <w:vAlign w:val="center"/>
          </w:tcPr>
          <w:p w14:paraId="3A517776" w14:textId="77777777" w:rsidR="00E0347F" w:rsidRPr="00A90AB7" w:rsidRDefault="00E0347F" w:rsidP="00E0347F">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31" w:type="pct"/>
            <w:shd w:val="clear" w:color="auto" w:fill="auto"/>
            <w:vAlign w:val="center"/>
          </w:tcPr>
          <w:p w14:paraId="6260AB34" w14:textId="5905D1EC" w:rsidR="00E0347F" w:rsidRPr="00631DA1" w:rsidRDefault="00E0347F" w:rsidP="00E0347F">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16" w:type="pct"/>
            <w:shd w:val="clear" w:color="auto" w:fill="auto"/>
          </w:tcPr>
          <w:p w14:paraId="3194D2B7" w14:textId="5652EEAC" w:rsidR="00E0347F" w:rsidRPr="00631DA1" w:rsidRDefault="00E0347F" w:rsidP="00E0347F">
            <w:pPr>
              <w:tabs>
                <w:tab w:val="left" w:pos="540"/>
              </w:tabs>
              <w:spacing w:before="120" w:after="120" w:line="240" w:lineRule="auto"/>
              <w:ind w:left="57" w:right="57"/>
              <w:jc w:val="center"/>
              <w:rPr>
                <w:rFonts w:ascii="Times New Roman" w:hAnsi="Times New Roman"/>
                <w:sz w:val="24"/>
                <w:szCs w:val="24"/>
              </w:rPr>
            </w:pPr>
            <w:r w:rsidRPr="00A13DF2">
              <w:rPr>
                <w:rFonts w:ascii="Times New Roman" w:eastAsia="Times New Roman" w:hAnsi="Times New Roman"/>
                <w:sz w:val="24"/>
                <w:szCs w:val="24"/>
                <w:lang w:val="nl-NL"/>
              </w:rPr>
              <w:t>N/A</w:t>
            </w:r>
            <w:r w:rsidRPr="00A13DF2">
              <w:rPr>
                <w:rFonts w:ascii="Times New Roman" w:eastAsia="Times New Roman" w:hAnsi="Times New Roman"/>
                <w:sz w:val="24"/>
                <w:szCs w:val="24"/>
                <w:vertAlign w:val="superscript"/>
                <w:lang w:val="nl-NL"/>
              </w:rPr>
              <w:t>(3)</w:t>
            </w:r>
          </w:p>
        </w:tc>
        <w:tc>
          <w:tcPr>
            <w:tcW w:w="915" w:type="pct"/>
            <w:shd w:val="clear" w:color="auto" w:fill="auto"/>
            <w:vAlign w:val="center"/>
          </w:tcPr>
          <w:p w14:paraId="356494BE" w14:textId="2531FFB5" w:rsidR="00E0347F" w:rsidRPr="00A90AB7" w:rsidRDefault="00E0347F" w:rsidP="00E0347F">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484A1706" w14:textId="77777777" w:rsidTr="00E0347F">
        <w:tc>
          <w:tcPr>
            <w:tcW w:w="2137" w:type="pct"/>
            <w:shd w:val="clear" w:color="auto" w:fill="auto"/>
            <w:vAlign w:val="center"/>
          </w:tcPr>
          <w:p w14:paraId="31BECECF"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31" w:type="pct"/>
            <w:shd w:val="clear" w:color="auto" w:fill="auto"/>
            <w:vAlign w:val="center"/>
          </w:tcPr>
          <w:p w14:paraId="0010992B" w14:textId="46C56982" w:rsidR="0001588B" w:rsidRPr="00631DA1" w:rsidRDefault="0001588B" w:rsidP="00E0347F">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16" w:type="pct"/>
            <w:shd w:val="clear" w:color="auto" w:fill="auto"/>
            <w:vAlign w:val="center"/>
          </w:tcPr>
          <w:p w14:paraId="17D0C26B" w14:textId="4818AFCA" w:rsidR="0001588B" w:rsidRPr="00631DA1" w:rsidRDefault="00E0347F" w:rsidP="00E0347F">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c>
          <w:tcPr>
            <w:tcW w:w="915" w:type="pct"/>
            <w:shd w:val="clear" w:color="auto" w:fill="auto"/>
            <w:vAlign w:val="center"/>
          </w:tcPr>
          <w:p w14:paraId="3EBF3467" w14:textId="00C756DA" w:rsidR="0001588B" w:rsidRPr="00A90AB7" w:rsidRDefault="0001588B" w:rsidP="00E0347F">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67CAC" w:rsidRPr="00A90AB7" w14:paraId="59EE0EC7" w14:textId="77777777" w:rsidTr="00E0347F">
        <w:tc>
          <w:tcPr>
            <w:tcW w:w="2137" w:type="pct"/>
            <w:shd w:val="clear" w:color="auto" w:fill="auto"/>
            <w:vAlign w:val="center"/>
          </w:tcPr>
          <w:p w14:paraId="5D620D01" w14:textId="77777777" w:rsidR="00E67CAC" w:rsidRPr="00A90AB7" w:rsidRDefault="00E67CAC" w:rsidP="00E67CA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31" w:type="pct"/>
            <w:shd w:val="clear" w:color="auto" w:fill="auto"/>
            <w:vAlign w:val="center"/>
          </w:tcPr>
          <w:p w14:paraId="1599D8AD" w14:textId="2012E83A" w:rsidR="00E67CAC" w:rsidRPr="00631DA1" w:rsidRDefault="00E67CAC"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3.01%</w:t>
            </w:r>
          </w:p>
        </w:tc>
        <w:tc>
          <w:tcPr>
            <w:tcW w:w="1016" w:type="pct"/>
            <w:shd w:val="clear" w:color="auto" w:fill="auto"/>
            <w:vAlign w:val="center"/>
          </w:tcPr>
          <w:p w14:paraId="4A1A1B3F" w14:textId="1063CE31" w:rsidR="00E67CAC" w:rsidRPr="00631DA1" w:rsidRDefault="00E67CAC"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3.70%</w:t>
            </w:r>
          </w:p>
        </w:tc>
        <w:tc>
          <w:tcPr>
            <w:tcW w:w="915" w:type="pct"/>
            <w:shd w:val="clear" w:color="auto" w:fill="auto"/>
            <w:vAlign w:val="center"/>
          </w:tcPr>
          <w:p w14:paraId="669414C7" w14:textId="5FE5741E" w:rsidR="00E67CAC" w:rsidRPr="00E67CAC" w:rsidRDefault="00E67CAC"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3</w:t>
            </w:r>
            <w:r w:rsidR="00E0347F">
              <w:rPr>
                <w:rFonts w:ascii="Times New Roman" w:hAnsi="Times New Roman"/>
                <w:sz w:val="24"/>
                <w:szCs w:val="24"/>
              </w:rPr>
              <w:t>.</w:t>
            </w:r>
            <w:r w:rsidRPr="00E67CAC">
              <w:rPr>
                <w:rFonts w:ascii="Times New Roman" w:hAnsi="Times New Roman"/>
                <w:sz w:val="24"/>
                <w:szCs w:val="24"/>
              </w:rPr>
              <w:t>64%</w:t>
            </w:r>
          </w:p>
        </w:tc>
      </w:tr>
      <w:tr w:rsidR="00E67CAC" w:rsidRPr="00A90AB7" w14:paraId="5F792137" w14:textId="77777777" w:rsidTr="00E0347F">
        <w:tc>
          <w:tcPr>
            <w:tcW w:w="2137" w:type="pct"/>
            <w:shd w:val="clear" w:color="auto" w:fill="auto"/>
            <w:vAlign w:val="center"/>
          </w:tcPr>
          <w:p w14:paraId="1CB9C522" w14:textId="77777777" w:rsidR="00E67CAC" w:rsidRPr="00A90AB7" w:rsidRDefault="00E67CAC" w:rsidP="00E67CA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2.14.Tốc độ vòng quay danh mục (lần)</w:t>
            </w:r>
          </w:p>
        </w:tc>
        <w:tc>
          <w:tcPr>
            <w:tcW w:w="931" w:type="pct"/>
            <w:shd w:val="clear" w:color="auto" w:fill="auto"/>
            <w:vAlign w:val="center"/>
          </w:tcPr>
          <w:p w14:paraId="1DCC5EDA" w14:textId="1C520602" w:rsidR="00E67CAC" w:rsidRPr="00631DA1" w:rsidRDefault="00E67CAC"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1.8311</w:t>
            </w:r>
          </w:p>
        </w:tc>
        <w:tc>
          <w:tcPr>
            <w:tcW w:w="1016" w:type="pct"/>
            <w:shd w:val="clear" w:color="auto" w:fill="auto"/>
            <w:vAlign w:val="center"/>
          </w:tcPr>
          <w:p w14:paraId="445F9F32" w14:textId="24F24C6A" w:rsidR="00E67CAC" w:rsidRPr="00631DA1" w:rsidRDefault="00E67CAC"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2.345</w:t>
            </w:r>
          </w:p>
        </w:tc>
        <w:tc>
          <w:tcPr>
            <w:tcW w:w="915" w:type="pct"/>
            <w:shd w:val="clear" w:color="auto" w:fill="auto"/>
            <w:vAlign w:val="center"/>
          </w:tcPr>
          <w:p w14:paraId="236B1E60" w14:textId="4CC42E6E" w:rsidR="00E67CAC" w:rsidRPr="00E67CAC" w:rsidRDefault="00E67CAC" w:rsidP="00E0347F">
            <w:pPr>
              <w:tabs>
                <w:tab w:val="left" w:pos="540"/>
              </w:tabs>
              <w:spacing w:before="120" w:after="120" w:line="240" w:lineRule="auto"/>
              <w:ind w:left="57" w:right="57"/>
              <w:jc w:val="center"/>
              <w:rPr>
                <w:rFonts w:ascii="Times New Roman" w:hAnsi="Times New Roman"/>
                <w:sz w:val="24"/>
                <w:szCs w:val="24"/>
              </w:rPr>
            </w:pPr>
            <w:r w:rsidRPr="00E67CAC">
              <w:rPr>
                <w:rFonts w:ascii="Times New Roman" w:hAnsi="Times New Roman"/>
                <w:sz w:val="24"/>
                <w:szCs w:val="24"/>
              </w:rPr>
              <w:t>2.784</w:t>
            </w:r>
          </w:p>
        </w:tc>
      </w:tr>
    </w:tbl>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7BCECDBB" w14:textId="42AB20D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w:t>
      </w:r>
      <w:r w:rsidR="00E0347F">
        <w:rPr>
          <w:rFonts w:ascii="Times New Roman" w:hAnsi="Times New Roman"/>
          <w:i/>
          <w:sz w:val="24"/>
          <w:szCs w:val="24"/>
          <w:lang w:val="nl-NL"/>
        </w:rPr>
        <w:t>.</w:t>
      </w:r>
      <w:r w:rsidRPr="00A90AB7">
        <w:rPr>
          <w:rFonts w:ascii="Times New Roman" w:hAnsi="Times New Roman"/>
          <w:i/>
          <w:sz w:val="24"/>
          <w:szCs w:val="24"/>
          <w:lang w:val="nl-NL"/>
        </w:rPr>
        <w:t xml:space="preserve"> chỉ tiêu không đủ dữ liệu để tính toán.</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E0347F">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631DA1">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C17A7C" w:rsidRPr="00A90AB7" w14:paraId="5EEB48C6" w14:textId="77777777" w:rsidTr="00631DA1">
        <w:tc>
          <w:tcPr>
            <w:tcW w:w="2115" w:type="pct"/>
            <w:shd w:val="clear" w:color="auto" w:fill="auto"/>
            <w:vAlign w:val="center"/>
          </w:tcPr>
          <w:p w14:paraId="5DDCFCF4" w14:textId="77777777" w:rsidR="00C17A7C" w:rsidRPr="00A90AB7" w:rsidRDefault="00C17A7C" w:rsidP="00C17A7C">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tcPr>
          <w:p w14:paraId="01E10D90" w14:textId="073F7793" w:rsidR="00C17A7C" w:rsidRPr="00631DA1" w:rsidRDefault="00C17A7C" w:rsidP="00C17A7C">
            <w:pPr>
              <w:tabs>
                <w:tab w:val="left" w:pos="540"/>
              </w:tabs>
              <w:spacing w:before="120" w:after="0" w:line="240" w:lineRule="auto"/>
              <w:jc w:val="center"/>
              <w:rPr>
                <w:rFonts w:ascii="Times New Roman" w:eastAsia="Times New Roman" w:hAnsi="Times New Roman"/>
                <w:sz w:val="24"/>
                <w:szCs w:val="24"/>
                <w:lang w:val="nl-NL"/>
              </w:rPr>
            </w:pPr>
            <w:r w:rsidRPr="00C17A7C">
              <w:rPr>
                <w:rFonts w:ascii="Times New Roman" w:eastAsia="Times New Roman" w:hAnsi="Times New Roman"/>
                <w:sz w:val="24"/>
                <w:szCs w:val="24"/>
                <w:lang w:val="nl-NL"/>
              </w:rPr>
              <w:t>81.48%</w:t>
            </w:r>
          </w:p>
        </w:tc>
        <w:tc>
          <w:tcPr>
            <w:tcW w:w="1441" w:type="pct"/>
            <w:shd w:val="clear" w:color="auto" w:fill="auto"/>
          </w:tcPr>
          <w:p w14:paraId="31D1F686" w14:textId="28DAF428" w:rsidR="00C17A7C" w:rsidRPr="00A90AB7" w:rsidRDefault="00C17A7C" w:rsidP="00C17A7C">
            <w:pPr>
              <w:tabs>
                <w:tab w:val="left" w:pos="540"/>
              </w:tabs>
              <w:spacing w:before="120" w:after="0" w:line="240" w:lineRule="auto"/>
              <w:jc w:val="center"/>
              <w:rPr>
                <w:rFonts w:ascii="Times New Roman" w:eastAsia="Times New Roman" w:hAnsi="Times New Roman"/>
                <w:sz w:val="24"/>
                <w:szCs w:val="24"/>
                <w:lang w:val="nl-NL"/>
              </w:rPr>
            </w:pPr>
            <w:r w:rsidRPr="00C17A7C">
              <w:rPr>
                <w:rFonts w:ascii="Times New Roman" w:eastAsia="Times New Roman" w:hAnsi="Times New Roman"/>
                <w:sz w:val="24"/>
                <w:szCs w:val="24"/>
                <w:lang w:val="nl-NL"/>
              </w:rPr>
              <w:t>81.48%</w:t>
            </w:r>
          </w:p>
        </w:tc>
      </w:tr>
      <w:tr w:rsidR="00BE6F63" w:rsidRPr="00A90AB7" w14:paraId="3E717F15" w14:textId="77777777" w:rsidTr="00631DA1">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8215ED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C17A7C" w:rsidRPr="00A90AB7" w14:paraId="15A9300F" w14:textId="77777777" w:rsidTr="00631DA1">
        <w:tc>
          <w:tcPr>
            <w:tcW w:w="2115" w:type="pct"/>
            <w:shd w:val="clear" w:color="auto" w:fill="auto"/>
            <w:vAlign w:val="center"/>
          </w:tcPr>
          <w:p w14:paraId="23252578" w14:textId="77777777" w:rsidR="00C17A7C" w:rsidRPr="00A90AB7" w:rsidRDefault="00C17A7C" w:rsidP="00C17A7C">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1F2628E3" w:rsidR="00C17A7C" w:rsidRPr="00C17A7C" w:rsidRDefault="00C17A7C" w:rsidP="00C17A7C">
            <w:pPr>
              <w:tabs>
                <w:tab w:val="left" w:pos="540"/>
              </w:tabs>
              <w:spacing w:before="120" w:after="0" w:line="240" w:lineRule="auto"/>
              <w:jc w:val="center"/>
              <w:rPr>
                <w:rFonts w:ascii="Times New Roman" w:eastAsia="Times New Roman" w:hAnsi="Times New Roman"/>
                <w:sz w:val="24"/>
                <w:szCs w:val="24"/>
                <w:lang w:val="nl-NL"/>
              </w:rPr>
            </w:pPr>
            <w:r w:rsidRPr="00C17A7C">
              <w:rPr>
                <w:rFonts w:ascii="Times New Roman" w:eastAsia="Times New Roman" w:hAnsi="Times New Roman"/>
                <w:sz w:val="24"/>
                <w:szCs w:val="24"/>
                <w:lang w:val="nl-NL"/>
              </w:rPr>
              <w:t>36.06%</w:t>
            </w:r>
          </w:p>
        </w:tc>
        <w:tc>
          <w:tcPr>
            <w:tcW w:w="1441" w:type="pct"/>
            <w:shd w:val="clear" w:color="auto" w:fill="auto"/>
            <w:vAlign w:val="center"/>
          </w:tcPr>
          <w:p w14:paraId="22F7C0B9" w14:textId="727DE86E" w:rsidR="00C17A7C" w:rsidRPr="00A90AB7" w:rsidRDefault="00620D22" w:rsidP="00C17A7C">
            <w:pPr>
              <w:tabs>
                <w:tab w:val="left" w:pos="540"/>
              </w:tabs>
              <w:spacing w:before="120" w:after="0" w:line="240" w:lineRule="auto"/>
              <w:jc w:val="center"/>
              <w:rPr>
                <w:rFonts w:ascii="Times New Roman" w:eastAsia="Times New Roman" w:hAnsi="Times New Roman"/>
                <w:sz w:val="24"/>
                <w:szCs w:val="24"/>
                <w:lang w:val="nl-NL"/>
              </w:rPr>
            </w:pPr>
            <w:r w:rsidRPr="00620D22">
              <w:rPr>
                <w:rFonts w:ascii="Times New Roman" w:eastAsia="Times New Roman" w:hAnsi="Times New Roman"/>
                <w:sz w:val="24"/>
                <w:szCs w:val="24"/>
                <w:lang w:val="nl-NL"/>
              </w:rPr>
              <w:t>63.47%</w:t>
            </w:r>
          </w:p>
        </w:tc>
      </w:tr>
      <w:tr w:rsidR="00BE6F63" w:rsidRPr="00A90AB7" w14:paraId="60120E2C" w14:textId="77777777" w:rsidTr="00631DA1">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r>
    </w:tbl>
    <w:p w14:paraId="099E16EA"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10E1B7EC" w14:textId="1263F71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w:t>
      </w:r>
      <w:r w:rsidR="00E0347F">
        <w:rPr>
          <w:rFonts w:ascii="Times New Roman" w:hAnsi="Times New Roman"/>
          <w:i/>
          <w:sz w:val="24"/>
          <w:szCs w:val="24"/>
          <w:lang w:val="nl-NL"/>
        </w:rPr>
        <w:t>.</w:t>
      </w:r>
      <w:r w:rsidRPr="00A90AB7">
        <w:rPr>
          <w:rFonts w:ascii="Times New Roman" w:hAnsi="Times New Roman"/>
          <w:i/>
          <w:sz w:val="24"/>
          <w:szCs w:val="24"/>
          <w:lang w:val="nl-NL"/>
        </w:rPr>
        <w:t xml:space="preserve">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0347F">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51FFA5D1"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9F4856">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br/>
              <w:t>(%)</w:t>
            </w:r>
          </w:p>
        </w:tc>
        <w:tc>
          <w:tcPr>
            <w:tcW w:w="721" w:type="pct"/>
            <w:shd w:val="clear" w:color="auto" w:fill="auto"/>
            <w:vAlign w:val="center"/>
          </w:tcPr>
          <w:p w14:paraId="595F60E4" w14:textId="21414DCA"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r w:rsidR="0017714B" w:rsidRPr="009F4856">
              <w:rPr>
                <w:rFonts w:ascii="Times New Roman" w:eastAsia="Times New Roman" w:hAnsi="Times New Roman"/>
                <w:b/>
                <w:sz w:val="24"/>
                <w:szCs w:val="24"/>
                <w:lang w:val="nl-NL"/>
              </w:rPr>
              <w:br/>
              <w:t>(%)</w:t>
            </w:r>
          </w:p>
        </w:tc>
        <w:tc>
          <w:tcPr>
            <w:tcW w:w="770" w:type="pct"/>
            <w:shd w:val="clear" w:color="auto" w:fill="auto"/>
            <w:vAlign w:val="center"/>
          </w:tcPr>
          <w:p w14:paraId="2B058C43" w14:textId="666E9D4D"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r w:rsidR="0017714B" w:rsidRPr="009F4856">
              <w:rPr>
                <w:rFonts w:ascii="Times New Roman" w:eastAsia="Times New Roman" w:hAnsi="Times New Roman"/>
                <w:b/>
                <w:sz w:val="24"/>
                <w:szCs w:val="24"/>
                <w:lang w:val="nl-NL"/>
              </w:rPr>
              <w:br/>
              <w:t>(%)</w:t>
            </w:r>
          </w:p>
        </w:tc>
        <w:tc>
          <w:tcPr>
            <w:tcW w:w="768" w:type="pct"/>
            <w:shd w:val="clear" w:color="auto" w:fill="auto"/>
            <w:vAlign w:val="center"/>
          </w:tcPr>
          <w:p w14:paraId="2844A0CE" w14:textId="55950DB3"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9F4856">
              <w:rPr>
                <w:rFonts w:ascii="Times New Roman" w:eastAsia="Times New Roman" w:hAnsi="Times New Roman"/>
                <w:b/>
                <w:sz w:val="24"/>
                <w:szCs w:val="24"/>
                <w:lang w:val="nl-NL"/>
              </w:rPr>
              <w:t>/201</w:t>
            </w:r>
            <w:r w:rsidR="00B17BB1">
              <w:rPr>
                <w:rFonts w:ascii="Times New Roman" w:eastAsia="Times New Roman" w:hAnsi="Times New Roman"/>
                <w:b/>
                <w:sz w:val="24"/>
                <w:szCs w:val="24"/>
                <w:lang w:val="nl-NL"/>
              </w:rPr>
              <w:t>8</w:t>
            </w:r>
            <w:r w:rsidR="0017714B" w:rsidRPr="009F4856">
              <w:rPr>
                <w:rFonts w:ascii="Times New Roman" w:eastAsia="Times New Roman" w:hAnsi="Times New Roman"/>
                <w:b/>
                <w:sz w:val="24"/>
                <w:szCs w:val="24"/>
                <w:lang w:val="nl-NL"/>
              </w:rPr>
              <w:br/>
              <w:t>(%)</w:t>
            </w:r>
          </w:p>
        </w:tc>
      </w:tr>
      <w:tr w:rsidR="00D32EB2" w:rsidRPr="00A90AB7" w14:paraId="2450D773" w14:textId="77777777" w:rsidTr="00E0347F">
        <w:tc>
          <w:tcPr>
            <w:tcW w:w="2018" w:type="pct"/>
            <w:shd w:val="clear" w:color="auto" w:fill="auto"/>
          </w:tcPr>
          <w:p w14:paraId="1AE229FE" w14:textId="77777777" w:rsidR="00D32EB2" w:rsidRPr="00A90AB7" w:rsidRDefault="00D32EB2" w:rsidP="00D32EB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vAlign w:val="center"/>
          </w:tcPr>
          <w:p w14:paraId="7171C538" w14:textId="51601E80" w:rsidR="00D32EB2" w:rsidRPr="00A90AB7" w:rsidRDefault="00D32EB2" w:rsidP="00D32EB2">
            <w:pPr>
              <w:tabs>
                <w:tab w:val="left" w:pos="540"/>
              </w:tabs>
              <w:spacing w:before="120" w:line="240" w:lineRule="auto"/>
              <w:jc w:val="center"/>
              <w:rPr>
                <w:rFonts w:ascii="Times New Roman" w:eastAsia="Times New Roman" w:hAnsi="Times New Roman"/>
                <w:sz w:val="24"/>
                <w:szCs w:val="24"/>
                <w:lang w:val="nl-NL"/>
              </w:rPr>
            </w:pPr>
            <w:r w:rsidRPr="00D32EB2">
              <w:rPr>
                <w:rFonts w:ascii="Times New Roman" w:eastAsia="Times New Roman" w:hAnsi="Times New Roman"/>
                <w:sz w:val="24"/>
                <w:szCs w:val="24"/>
                <w:lang w:val="nl-NL"/>
              </w:rPr>
              <w:t>81.48%</w:t>
            </w:r>
          </w:p>
        </w:tc>
        <w:tc>
          <w:tcPr>
            <w:tcW w:w="721" w:type="pct"/>
            <w:shd w:val="clear" w:color="auto" w:fill="auto"/>
            <w:vAlign w:val="center"/>
          </w:tcPr>
          <w:p w14:paraId="34A7EE47" w14:textId="752B1E86" w:rsidR="00D32EB2" w:rsidRPr="00A90AB7" w:rsidRDefault="00D32EB2" w:rsidP="00D32EB2">
            <w:pPr>
              <w:tabs>
                <w:tab w:val="left" w:pos="540"/>
              </w:tabs>
              <w:spacing w:before="120" w:line="240" w:lineRule="auto"/>
              <w:jc w:val="center"/>
              <w:rPr>
                <w:rFonts w:ascii="Times New Roman" w:eastAsia="Times New Roman" w:hAnsi="Times New Roman"/>
                <w:sz w:val="24"/>
                <w:szCs w:val="24"/>
                <w:lang w:val="nl-NL"/>
              </w:rPr>
            </w:pPr>
            <w:r w:rsidRPr="00D32EB2">
              <w:rPr>
                <w:rFonts w:ascii="Times New Roman" w:eastAsia="Times New Roman" w:hAnsi="Times New Roman"/>
                <w:sz w:val="24"/>
                <w:szCs w:val="24"/>
                <w:lang w:val="nl-NL"/>
              </w:rPr>
              <w:t>-28.91%</w:t>
            </w:r>
          </w:p>
        </w:tc>
        <w:tc>
          <w:tcPr>
            <w:tcW w:w="770" w:type="pct"/>
            <w:shd w:val="clear" w:color="auto" w:fill="auto"/>
          </w:tcPr>
          <w:p w14:paraId="296CFA3A" w14:textId="7EB6AC91" w:rsidR="00D32EB2" w:rsidRPr="00A90AB7" w:rsidRDefault="00D32EB2" w:rsidP="00D32EB2">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D32EB2" w:rsidRPr="00A90AB7" w:rsidRDefault="00D32EB2" w:rsidP="00D32EB2">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5EB8E205"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w:t>
      </w:r>
      <w:r w:rsidR="00E0347F">
        <w:rPr>
          <w:rFonts w:ascii="Times New Roman" w:hAnsi="Times New Roman"/>
          <w:i/>
          <w:sz w:val="24"/>
          <w:szCs w:val="24"/>
          <w:lang w:val="nl-NL"/>
        </w:rPr>
        <w:t>.</w:t>
      </w:r>
      <w:r w:rsidRPr="00A90AB7">
        <w:rPr>
          <w:rFonts w:ascii="Times New Roman" w:hAnsi="Times New Roman"/>
          <w:i/>
          <w:sz w:val="24"/>
          <w:szCs w:val="24"/>
          <w:lang w:val="nl-NL"/>
        </w:rPr>
        <w:t xml:space="preserve">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90CD3">
        <w:rPr>
          <w:rFonts w:ascii="Times New Roman" w:hAnsi="Times New Roman"/>
          <w:b/>
          <w:sz w:val="24"/>
          <w:szCs w:val="24"/>
          <w:lang w:val="nl-NL"/>
        </w:rPr>
        <w:t>III. Mô tả thị trường trong kỳ:</w:t>
      </w:r>
    </w:p>
    <w:p w14:paraId="33290609" w14:textId="0AD1E187" w:rsidR="00F075DE" w:rsidRPr="00FC7539" w:rsidRDefault="00F075DE" w:rsidP="00F075DE">
      <w:pPr>
        <w:shd w:val="clear" w:color="auto" w:fill="FFFFFF"/>
        <w:tabs>
          <w:tab w:val="left" w:pos="540"/>
        </w:tabs>
        <w:spacing w:before="120" w:after="0" w:line="240" w:lineRule="auto"/>
        <w:jc w:val="both"/>
        <w:rPr>
          <w:rFonts w:ascii="Times New Roman" w:hAnsi="Times New Roman"/>
          <w:sz w:val="24"/>
          <w:szCs w:val="24"/>
          <w:shd w:val="clear" w:color="auto" w:fill="FFFFFF"/>
        </w:rPr>
      </w:pP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FC7539">
        <w:rPr>
          <w:rFonts w:ascii="Times New Roman" w:hAnsi="Times New Roman"/>
          <w:sz w:val="24"/>
          <w:szCs w:val="24"/>
        </w:rPr>
        <w:t>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 </w:t>
      </w:r>
      <w:proofErr w:type="spellStart"/>
      <w:r>
        <w:rPr>
          <w:rFonts w:ascii="Times New Roman" w:hAnsi="Times New Roman"/>
          <w:sz w:val="24"/>
          <w:szCs w:val="24"/>
        </w:rPr>
        <w:t>X</w:t>
      </w:r>
      <w:r w:rsidRPr="00FC7539">
        <w:rPr>
          <w:rFonts w:ascii="Times New Roman" w:hAnsi="Times New Roman"/>
          <w:sz w:val="24"/>
          <w:szCs w:val="24"/>
        </w:rPr>
        <w:t>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hội</w:t>
      </w:r>
      <w:proofErr w:type="spellEnd"/>
      <w:r w:rsidRPr="00FC7539">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sidRPr="00FC7539">
        <w:rPr>
          <w:rFonts w:ascii="Times New Roman" w:hAnsi="Times New Roman"/>
          <w:sz w:val="24"/>
          <w:szCs w:val="24"/>
        </w:rPr>
        <w:t>quý</w:t>
      </w:r>
      <w:proofErr w:type="spellEnd"/>
      <w:r w:rsidRPr="00FC7539">
        <w:rPr>
          <w:rFonts w:ascii="Times New Roman" w:hAnsi="Times New Roman"/>
          <w:sz w:val="24"/>
          <w:szCs w:val="24"/>
        </w:rPr>
        <w:t xml:space="preserve"> 1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w:t>
      </w:r>
      <w:r w:rsidRPr="00FC7539">
        <w:rPr>
          <w:rFonts w:ascii="Times New Roman" w:hAnsi="Times New Roman"/>
          <w:sz w:val="24"/>
          <w:szCs w:val="24"/>
          <w:lang w:val="vi-VN"/>
        </w:rPr>
        <w:t xml:space="preserve"> của nước ta</w:t>
      </w:r>
      <w:r w:rsidRPr="00FC7539">
        <w:rPr>
          <w:rFonts w:ascii="Times New Roman" w:hAnsi="Times New Roman"/>
          <w:sz w:val="24"/>
          <w:szCs w:val="24"/>
        </w:rPr>
        <w:t xml:space="preserve"> </w:t>
      </w:r>
      <w:proofErr w:type="spellStart"/>
      <w:r w:rsidRPr="00FC7539">
        <w:rPr>
          <w:rFonts w:ascii="Times New Roman" w:hAnsi="Times New Roman"/>
          <w:sz w:val="24"/>
          <w:szCs w:val="24"/>
        </w:rPr>
        <w:t>diễn</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bối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cảnh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bắt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có</w:t>
      </w:r>
      <w:proofErr w:type="spellEnd"/>
      <w:r w:rsidRPr="00FC7539">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vọng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tích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sau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nỗ</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nghiên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cứu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lang w:val="vi-VN"/>
        </w:rPr>
        <w:t xml:space="preserve"> triển khai</w:t>
      </w:r>
      <w:r w:rsidRPr="00FC7539">
        <w:rPr>
          <w:rFonts w:ascii="Times New Roman" w:hAnsi="Times New Roman"/>
          <w:sz w:val="24"/>
          <w:szCs w:val="24"/>
        </w:rPr>
        <w:t xml:space="preserve"> </w:t>
      </w:r>
      <w:proofErr w:type="spellStart"/>
      <w:r w:rsidRPr="00FC7539">
        <w:rPr>
          <w:rFonts w:ascii="Times New Roman" w:hAnsi="Times New Roman"/>
          <w:sz w:val="24"/>
          <w:szCs w:val="24"/>
        </w:rPr>
        <w:t>tiêm</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chủng</w:t>
      </w:r>
      <w:proofErr w:type="spellEnd"/>
      <w:r w:rsidRPr="00FC7539">
        <w:rPr>
          <w:rFonts w:ascii="Times New Roman" w:hAnsi="Times New Roman"/>
          <w:sz w:val="24"/>
          <w:szCs w:val="24"/>
        </w:rPr>
        <w:t xml:space="preserve"> vaccine Covid-19 </w:t>
      </w:r>
      <w:r w:rsidRPr="00FC7539">
        <w:rPr>
          <w:rFonts w:ascii="Times New Roman" w:hAnsi="Times New Roman"/>
          <w:sz w:val="24"/>
          <w:szCs w:val="24"/>
          <w:lang w:val="vi-VN"/>
        </w:rPr>
        <w:t xml:space="preserve">ở nhiều nước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Việt</w:t>
      </w:r>
      <w:proofErr w:type="spellEnd"/>
      <w:r w:rsidRPr="00FC7539">
        <w:rPr>
          <w:rFonts w:ascii="Times New Roman" w:hAnsi="Times New Roman"/>
          <w:sz w:val="24"/>
          <w:szCs w:val="24"/>
        </w:rPr>
        <w:t xml:space="preserve"> Nam. </w:t>
      </w:r>
      <w:proofErr w:type="spellStart"/>
      <w:r w:rsidRPr="00FC7539">
        <w:rPr>
          <w:rFonts w:ascii="Times New Roman" w:hAnsi="Times New Roman"/>
          <w:sz w:val="24"/>
          <w:szCs w:val="24"/>
        </w:rPr>
        <w:t>Quỹ</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tệ</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(IMF)</w:t>
      </w:r>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Ngân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(WB)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tổ</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đưa</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dự</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báo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quan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về</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vọng</w:t>
      </w:r>
      <w:proofErr w:type="spellEnd"/>
      <w:r w:rsidRPr="00FC7539">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hậu</w:t>
      </w:r>
      <w:proofErr w:type="spellEnd"/>
      <w:r>
        <w:rPr>
          <w:rFonts w:ascii="Times New Roman" w:hAnsi="Times New Roman"/>
          <w:sz w:val="24"/>
          <w:szCs w:val="24"/>
        </w:rPr>
        <w:t xml:space="preserve"> Covid-19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toàn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lớn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như</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Mỹ</w:t>
      </w:r>
      <w:proofErr w:type="spellEnd"/>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Trung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Nhật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Bản</w:t>
      </w:r>
      <w:proofErr w:type="spellEnd"/>
      <w:r w:rsidR="00E0347F">
        <w:rPr>
          <w:rFonts w:ascii="Times New Roman" w:hAnsi="Times New Roman"/>
          <w:sz w:val="24"/>
          <w:szCs w:val="24"/>
        </w:rPr>
        <w:t>.</w:t>
      </w:r>
      <w:r w:rsidRPr="00FC7539">
        <w:rPr>
          <w:rFonts w:ascii="Times New Roman" w:hAnsi="Times New Roman"/>
          <w:sz w:val="24"/>
          <w:szCs w:val="24"/>
        </w:rPr>
        <w:t xml:space="preserve"> EU </w:t>
      </w:r>
      <w:proofErr w:type="spellStart"/>
      <w:r w:rsidRPr="00FC7539">
        <w:rPr>
          <w:rFonts w:ascii="Times New Roman" w:hAnsi="Times New Roman"/>
          <w:sz w:val="24"/>
          <w:szCs w:val="24"/>
        </w:rPr>
        <w:t>đều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đặt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trưởng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r w:rsidRPr="00FC7539">
        <w:rPr>
          <w:rFonts w:ascii="Times New Roman" w:hAnsi="Times New Roman"/>
          <w:sz w:val="24"/>
          <w:szCs w:val="24"/>
        </w:rPr>
        <w:t>2020</w:t>
      </w:r>
      <w:r>
        <w:rPr>
          <w:rFonts w:ascii="Times New Roman" w:hAnsi="Times New Roman"/>
          <w:sz w:val="24"/>
          <w:szCs w:val="24"/>
        </w:rPr>
        <w:t xml:space="preserve">; </w:t>
      </w:r>
      <w:proofErr w:type="spellStart"/>
      <w:r w:rsidRPr="00FC7539">
        <w:rPr>
          <w:rFonts w:ascii="Times New Roman" w:hAnsi="Times New Roman"/>
          <w:sz w:val="24"/>
          <w:szCs w:val="24"/>
        </w:rPr>
        <w:t>đồng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thời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tiếp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tục</w:t>
      </w:r>
      <w:proofErr w:type="spellEnd"/>
      <w:r w:rsidRPr="00FC7539">
        <w:rPr>
          <w:rFonts w:ascii="Times New Roman" w:hAnsi="Times New Roman"/>
          <w:sz w:val="24"/>
          <w:szCs w:val="24"/>
        </w:rPr>
        <w:t xml:space="preserve"> ban </w:t>
      </w:r>
      <w:proofErr w:type="spellStart"/>
      <w:r w:rsidRPr="00FC7539">
        <w:rPr>
          <w:rFonts w:ascii="Times New Roman" w:hAnsi="Times New Roman"/>
          <w:sz w:val="24"/>
          <w:szCs w:val="24"/>
        </w:rPr>
        <w:t>hành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gói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tài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chính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hỗ</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Tuy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nhiên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vẫn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còn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hiện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hữu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Thương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mại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toàn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bị</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động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tiêu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trước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tình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trạng</w:t>
      </w:r>
      <w:proofErr w:type="spellEnd"/>
      <w:r w:rsidRPr="00FC7539">
        <w:rPr>
          <w:rFonts w:ascii="Times New Roman" w:hAnsi="Times New Roman"/>
          <w:sz w:val="24"/>
          <w:szCs w:val="24"/>
        </w:rPr>
        <w:t xml:space="preserve"> khan </w:t>
      </w:r>
      <w:proofErr w:type="spellStart"/>
      <w:r w:rsidRPr="00FC7539">
        <w:rPr>
          <w:rFonts w:ascii="Times New Roman" w:hAnsi="Times New Roman"/>
          <w:sz w:val="24"/>
          <w:szCs w:val="24"/>
        </w:rPr>
        <w:t>hiếm</w:t>
      </w:r>
      <w:proofErr w:type="spellEnd"/>
      <w:r w:rsidRPr="00FC7539">
        <w:rPr>
          <w:rFonts w:ascii="Times New Roman" w:hAnsi="Times New Roman"/>
          <w:sz w:val="24"/>
          <w:szCs w:val="24"/>
        </w:rPr>
        <w:t xml:space="preserve"> container </w:t>
      </w:r>
      <w:proofErr w:type="spellStart"/>
      <w:r w:rsidRPr="00FC7539">
        <w:rPr>
          <w:rFonts w:ascii="Times New Roman" w:hAnsi="Times New Roman"/>
          <w:sz w:val="24"/>
          <w:szCs w:val="24"/>
        </w:rPr>
        <w:t>rỗng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sự</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cố</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tàu</w:t>
      </w:r>
      <w:proofErr w:type="spellEnd"/>
      <w:r w:rsidRPr="00FC7539">
        <w:rPr>
          <w:rFonts w:ascii="Times New Roman" w:hAnsi="Times New Roman"/>
          <w:sz w:val="24"/>
          <w:szCs w:val="24"/>
        </w:rPr>
        <w:t xml:space="preserve"> Ever Given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kênh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đào</w:t>
      </w:r>
      <w:proofErr w:type="spellEnd"/>
      <w:r w:rsidRPr="00FC7539">
        <w:rPr>
          <w:rFonts w:ascii="Times New Roman" w:hAnsi="Times New Roman"/>
          <w:sz w:val="24"/>
          <w:szCs w:val="24"/>
        </w:rPr>
        <w:t xml:space="preserve"> Suez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góp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phần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đẩy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giá</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hóa</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mạnh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w:t>
      </w:r>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Mặt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bằng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lãi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suất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các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quốc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gia</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trên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thế</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giới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có</w:t>
      </w:r>
      <w:proofErr w:type="spellEnd"/>
      <w:r w:rsidRPr="00FC7539">
        <w:rPr>
          <w:rFonts w:ascii="Times New Roman" w:hAnsi="Times New Roman"/>
          <w:sz w:val="24"/>
          <w:szCs w:val="24"/>
          <w:shd w:val="clear" w:color="auto" w:fill="FFFFFF"/>
        </w:rPr>
        <w:t xml:space="preserve"> xu </w:t>
      </w:r>
      <w:proofErr w:type="spellStart"/>
      <w:r w:rsidRPr="00FC7539">
        <w:rPr>
          <w:rFonts w:ascii="Times New Roman" w:hAnsi="Times New Roman"/>
          <w:sz w:val="24"/>
          <w:szCs w:val="24"/>
          <w:shd w:val="clear" w:color="auto" w:fill="FFFFFF"/>
        </w:rPr>
        <w:t>hướng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tăng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trở</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lại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gây</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áp</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lastRenderedPageBreak/>
        <w:t>lực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lên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lạm</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phát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Một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số</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các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thành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phố</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lớn</w:t>
      </w:r>
      <w:proofErr w:type="spellEnd"/>
      <w:r w:rsidRPr="00FC7539">
        <w:rPr>
          <w:rFonts w:ascii="Times New Roman" w:hAnsi="Times New Roman"/>
          <w:sz w:val="24"/>
          <w:szCs w:val="24"/>
          <w:shd w:val="clear" w:color="auto" w:fill="FFFFFF"/>
        </w:rPr>
        <w:t xml:space="preserve"> ở </w:t>
      </w:r>
      <w:proofErr w:type="spellStart"/>
      <w:r w:rsidRPr="00FC7539">
        <w:rPr>
          <w:rFonts w:ascii="Times New Roman" w:hAnsi="Times New Roman"/>
          <w:sz w:val="24"/>
          <w:szCs w:val="24"/>
          <w:shd w:val="clear" w:color="auto" w:fill="FFFFFF"/>
        </w:rPr>
        <w:t>châu</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Âu</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tiếp</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tục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bị</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phong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tỏa</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khi</w:t>
      </w:r>
      <w:proofErr w:type="spellEnd"/>
      <w:r w:rsidRPr="00FC753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các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đợt</w:t>
      </w:r>
      <w:proofErr w:type="spellEnd"/>
      <w:r>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dịch</w:t>
      </w:r>
      <w:proofErr w:type="spellEnd"/>
      <w:r w:rsidRPr="00FC7539">
        <w:rPr>
          <w:rFonts w:ascii="Times New Roman" w:hAnsi="Times New Roman"/>
          <w:sz w:val="24"/>
          <w:szCs w:val="24"/>
          <w:shd w:val="clear" w:color="auto" w:fill="FFFFFF"/>
        </w:rPr>
        <w:t xml:space="preserve"> Covid</w:t>
      </w:r>
      <w:r>
        <w:rPr>
          <w:rFonts w:ascii="Times New Roman" w:hAnsi="Times New Roman"/>
          <w:sz w:val="24"/>
          <w:szCs w:val="24"/>
          <w:shd w:val="clear" w:color="auto" w:fill="FFFFFF"/>
        </w:rPr>
        <w:t>-</w:t>
      </w:r>
      <w:r w:rsidRPr="00FC7539">
        <w:rPr>
          <w:rFonts w:ascii="Times New Roman" w:hAnsi="Times New Roman"/>
          <w:sz w:val="24"/>
          <w:szCs w:val="24"/>
          <w:shd w:val="clear" w:color="auto" w:fill="FFFFFF"/>
        </w:rPr>
        <w:t xml:space="preserve">19 </w:t>
      </w:r>
      <w:proofErr w:type="spellStart"/>
      <w:r>
        <w:rPr>
          <w:rFonts w:ascii="Times New Roman" w:hAnsi="Times New Roman"/>
          <w:sz w:val="24"/>
          <w:szCs w:val="24"/>
          <w:shd w:val="clear" w:color="auto" w:fill="FFFFFF"/>
        </w:rPr>
        <w:t>tiếp</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tục</w:t>
      </w:r>
      <w:proofErr w:type="spellEnd"/>
      <w:r>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tái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bùng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phát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ảnh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hưởng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không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nhỏ</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đến</w:t>
      </w:r>
      <w:proofErr w:type="spellEnd"/>
      <w:r w:rsidRPr="00FC753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tình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hình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chung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của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nền</w:t>
      </w:r>
      <w:proofErr w:type="spellEnd"/>
      <w:r>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kinh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tế</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toàn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cầu</w:t>
      </w:r>
      <w:proofErr w:type="spellEnd"/>
      <w:r w:rsidRPr="00FC7539">
        <w:rPr>
          <w:rFonts w:ascii="Times New Roman" w:hAnsi="Times New Roman"/>
          <w:sz w:val="24"/>
          <w:szCs w:val="24"/>
          <w:shd w:val="clear" w:color="auto" w:fill="FFFFFF"/>
        </w:rPr>
        <w:t xml:space="preserve">. </w:t>
      </w:r>
    </w:p>
    <w:p w14:paraId="47D94FC3" w14:textId="32B15AEE" w:rsidR="00F075DE" w:rsidRPr="00FC7539" w:rsidRDefault="00F075DE" w:rsidP="00F075DE">
      <w:pPr>
        <w:shd w:val="clear" w:color="auto" w:fill="FFFFFF"/>
        <w:tabs>
          <w:tab w:val="left" w:pos="540"/>
        </w:tabs>
        <w:spacing w:before="120" w:after="0" w:line="240" w:lineRule="auto"/>
        <w:jc w:val="both"/>
        <w:rPr>
          <w:rFonts w:ascii="Times New Roman" w:hAnsi="Times New Roman"/>
          <w:sz w:val="24"/>
          <w:szCs w:val="24"/>
          <w:lang w:val="nl-NL"/>
        </w:rPr>
      </w:pPr>
      <w:proofErr w:type="spellStart"/>
      <w:r w:rsidRPr="00FC7539">
        <w:rPr>
          <w:rFonts w:ascii="Times New Roman" w:hAnsi="Times New Roman"/>
          <w:sz w:val="24"/>
          <w:szCs w:val="24"/>
          <w:shd w:val="clear" w:color="auto" w:fill="FFFFFF"/>
        </w:rPr>
        <w:t>Đối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với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tình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hình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w:t>
      </w:r>
      <w:r w:rsidRPr="00FC7539">
        <w:rPr>
          <w:rFonts w:ascii="Times New Roman" w:hAnsi="Times New Roman"/>
          <w:sz w:val="24"/>
          <w:szCs w:val="24"/>
        </w:rPr>
        <w: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nước</w:t>
      </w:r>
      <w:proofErr w:type="spellEnd"/>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tiếp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phục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hồi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trưởng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tích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từ</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quý</w:t>
      </w:r>
      <w:proofErr w:type="spellEnd"/>
      <w:r w:rsidRPr="00FC7539">
        <w:rPr>
          <w:rFonts w:ascii="Times New Roman" w:hAnsi="Times New Roman"/>
          <w:sz w:val="24"/>
          <w:szCs w:val="24"/>
        </w:rPr>
        <w:t xml:space="preserve"> IV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2020</w:t>
      </w:r>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vĩ</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mô</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nước</w:t>
      </w:r>
      <w:proofErr w:type="spellEnd"/>
      <w:r w:rsidRPr="00FC7539">
        <w:rPr>
          <w:rFonts w:ascii="Times New Roman" w:hAnsi="Times New Roman"/>
          <w:sz w:val="24"/>
          <w:szCs w:val="24"/>
        </w:rPr>
        <w:t xml:space="preserve"> ta </w:t>
      </w:r>
      <w:proofErr w:type="spellStart"/>
      <w:r w:rsidRPr="00FC7539">
        <w:rPr>
          <w:rFonts w:ascii="Times New Roman" w:hAnsi="Times New Roman"/>
          <w:sz w:val="24"/>
          <w:szCs w:val="24"/>
        </w:rPr>
        <w:t>tiếp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tục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ổn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định</w:t>
      </w:r>
      <w:proofErr w:type="spellEnd"/>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thời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tiết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những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tháng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w:t>
      </w:r>
      <w:r w:rsidRPr="00FC7539">
        <w:rPr>
          <w:rFonts w:ascii="Times New Roman" w:hAnsi="Times New Roman"/>
          <w:sz w:val="24"/>
          <w:szCs w:val="24"/>
          <w:lang w:val="pt-BR"/>
        </w:rPr>
        <w:t>tương đối thuận lợi</w:t>
      </w:r>
      <w:r w:rsidR="00E0347F">
        <w:rPr>
          <w:rFonts w:ascii="Times New Roman" w:hAnsi="Times New Roman"/>
          <w:sz w:val="24"/>
          <w:szCs w:val="24"/>
          <w:lang w:val="pt-BR"/>
        </w:rPr>
        <w:t>.</w:t>
      </w:r>
      <w:r w:rsidRPr="00FC7539">
        <w:rPr>
          <w:rFonts w:ascii="Times New Roman" w:hAnsi="Times New Roman"/>
          <w:sz w:val="24"/>
          <w:szCs w:val="24"/>
          <w:lang w:val="pt-BR"/>
        </w:rPr>
        <w:t xml:space="preserve"> </w:t>
      </w:r>
      <w:proofErr w:type="spellStart"/>
      <w:r w:rsidRPr="00FC7539">
        <w:rPr>
          <w:rFonts w:ascii="Times New Roman" w:hAnsi="Times New Roman"/>
          <w:sz w:val="24"/>
          <w:szCs w:val="24"/>
        </w:rPr>
        <w:t>dịch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lợn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châu</w:t>
      </w:r>
      <w:proofErr w:type="spellEnd"/>
      <w:r w:rsidRPr="00FC7539">
        <w:rPr>
          <w:rFonts w:ascii="Times New Roman" w:hAnsi="Times New Roman"/>
          <w:sz w:val="24"/>
          <w:szCs w:val="24"/>
        </w:rPr>
        <w:t xml:space="preserve"> Phi </w:t>
      </w:r>
      <w:proofErr w:type="spellStart"/>
      <w:r w:rsidRPr="00FC7539">
        <w:rPr>
          <w:rFonts w:ascii="Times New Roman" w:hAnsi="Times New Roman"/>
          <w:sz w:val="24"/>
          <w:szCs w:val="24"/>
        </w:rPr>
        <w:t>được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kiểm</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soát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tốt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những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điều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kiện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thuận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lợi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sản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xuất</w:t>
      </w:r>
      <w:proofErr w:type="spellEnd"/>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doanh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Tuy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nhiên</w:t>
      </w:r>
      <w:proofErr w:type="spellEnd"/>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dịch</w:t>
      </w:r>
      <w:proofErr w:type="spellEnd"/>
      <w:r w:rsidRPr="00FC7539">
        <w:rPr>
          <w:rFonts w:ascii="Times New Roman" w:hAnsi="Times New Roman"/>
          <w:sz w:val="24"/>
          <w:szCs w:val="24"/>
        </w:rPr>
        <w:t xml:space="preserve"> Covid-19 </w:t>
      </w:r>
      <w:proofErr w:type="spellStart"/>
      <w:r w:rsidRPr="00FC7539">
        <w:rPr>
          <w:rFonts w:ascii="Times New Roman" w:hAnsi="Times New Roman"/>
          <w:sz w:val="24"/>
          <w:szCs w:val="24"/>
        </w:rPr>
        <w:t>bùng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phát</w:t>
      </w:r>
      <w:proofErr w:type="spellEnd"/>
      <w:r w:rsidRPr="00FC7539">
        <w:rPr>
          <w:rFonts w:ascii="Times New Roman" w:hAnsi="Times New Roman"/>
          <w:sz w:val="24"/>
          <w:szCs w:val="24"/>
        </w:rPr>
        <w:t xml:space="preserve"> </w:t>
      </w:r>
      <w:proofErr w:type="spellStart"/>
      <w:r>
        <w:rPr>
          <w:rFonts w:ascii="Times New Roman" w:hAnsi="Times New Roman"/>
          <w:sz w:val="24"/>
          <w:szCs w:val="24"/>
        </w:rPr>
        <w:t>cục</w:t>
      </w:r>
      <w:proofErr w:type="spellEnd"/>
      <w:r>
        <w:rPr>
          <w:rFonts w:ascii="Times New Roman" w:hAnsi="Times New Roman"/>
          <w:sz w:val="24"/>
          <w:szCs w:val="24"/>
        </w:rPr>
        <w:t xml:space="preserve"> </w:t>
      </w:r>
      <w:proofErr w:type="spellStart"/>
      <w:r>
        <w:rPr>
          <w:rFonts w:ascii="Times New Roman" w:hAnsi="Times New Roman"/>
          <w:sz w:val="24"/>
          <w:szCs w:val="24"/>
        </w:rPr>
        <w:t>bộ</w:t>
      </w:r>
      <w:proofErr w:type="spellEnd"/>
      <w:r>
        <w:rPr>
          <w:rFonts w:ascii="Times New Roman" w:hAnsi="Times New Roman"/>
          <w:sz w:val="24"/>
          <w:szCs w:val="24"/>
        </w:rPr>
        <w:t xml:space="preserve"> </w:t>
      </w:r>
      <w:r w:rsidRPr="00FC7539">
        <w:rPr>
          <w:rFonts w:ascii="Times New Roman" w:hAnsi="Times New Roman"/>
          <w:sz w:val="24"/>
          <w:szCs w:val="24"/>
        </w:rPr>
        <w:t xml:space="preserve">ở </w:t>
      </w:r>
      <w:proofErr w:type="spellStart"/>
      <w:r w:rsidRPr="00FC7539">
        <w:rPr>
          <w:rFonts w:ascii="Times New Roman" w:hAnsi="Times New Roman"/>
          <w:sz w:val="24"/>
          <w:szCs w:val="24"/>
        </w:rPr>
        <w:t>một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số</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tỉnh</w:t>
      </w:r>
      <w:proofErr w:type="spellEnd"/>
      <w:r w:rsidR="00E0347F">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thành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phố</w:t>
      </w:r>
      <w:proofErr w:type="spellEnd"/>
      <w:r w:rsidRPr="00FC7539">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sidRPr="00FC7539">
        <w:rPr>
          <w:rFonts w:ascii="Times New Roman" w:hAnsi="Times New Roman"/>
          <w:sz w:val="24"/>
          <w:szCs w:val="24"/>
        </w:rPr>
        <w:t>cuối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tháng</w:t>
      </w:r>
      <w:proofErr w:type="spellEnd"/>
      <w:r w:rsidRPr="00FC7539">
        <w:rPr>
          <w:rFonts w:ascii="Times New Roman" w:hAnsi="Times New Roman"/>
          <w:sz w:val="24"/>
          <w:szCs w:val="24"/>
        </w:rPr>
        <w:t xml:space="preserve"> 1 </w:t>
      </w:r>
      <w:proofErr w:type="spellStart"/>
      <w:r>
        <w:rPr>
          <w:rFonts w:ascii="Times New Roman" w:hAnsi="Times New Roman"/>
          <w:sz w:val="24"/>
          <w:szCs w:val="24"/>
        </w:rPr>
        <w:t>năm</w:t>
      </w:r>
      <w:proofErr w:type="spellEnd"/>
      <w:r>
        <w:rPr>
          <w:rFonts w:ascii="Times New Roman" w:hAnsi="Times New Roman"/>
          <w:sz w:val="24"/>
          <w:szCs w:val="24"/>
        </w:rPr>
        <w:t xml:space="preserve"> nay</w:t>
      </w:r>
      <w:r w:rsidRPr="00FC7539">
        <w:rPr>
          <w:rFonts w:ascii="Times New Roman" w:hAnsi="Times New Roman"/>
          <w:sz w:val="24"/>
          <w:szCs w:val="24"/>
        </w:rPr>
        <w:t xml:space="preserve">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đặt</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không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ít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thách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công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quản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lý</w:t>
      </w:r>
      <w:proofErr w:type="spellEnd"/>
      <w:r w:rsidR="00E0347F">
        <w:rPr>
          <w:rFonts w:ascii="Times New Roman" w:hAnsi="Times New Roman"/>
          <w:sz w:val="24"/>
          <w:szCs w:val="24"/>
        </w:rPr>
        <w:t>.</w:t>
      </w:r>
      <w:r w:rsidRPr="00FC7539">
        <w:rPr>
          <w:rFonts w:ascii="Times New Roman" w:hAnsi="Times New Roman"/>
          <w:sz w:val="24"/>
          <w:szCs w:val="24"/>
        </w:rPr>
        <w:t xml:space="preserve"> </w:t>
      </w:r>
      <w:r w:rsidRPr="00FC7539">
        <w:rPr>
          <w:rFonts w:ascii="Times New Roman" w:hAnsi="Times New Roman"/>
          <w:sz w:val="24"/>
          <w:szCs w:val="24"/>
          <w:lang w:val="vi-VN"/>
        </w:rPr>
        <w:t>chỉ đạo</w:t>
      </w:r>
      <w:r w:rsidR="00E0347F">
        <w:rPr>
          <w:rFonts w:ascii="Times New Roman" w:hAnsi="Times New Roman"/>
          <w:sz w:val="24"/>
          <w:szCs w:val="24"/>
          <w:lang w:val="vi-VN"/>
        </w:rPr>
        <w:t>.</w:t>
      </w:r>
      <w:r w:rsidRPr="00FC7539">
        <w:rPr>
          <w:rFonts w:ascii="Times New Roman" w:hAnsi="Times New Roman"/>
          <w:sz w:val="24"/>
          <w:szCs w:val="24"/>
          <w:lang w:val="vi-VN"/>
        </w:rPr>
        <w:t xml:space="preserve"> </w:t>
      </w:r>
      <w:proofErr w:type="spellStart"/>
      <w:r w:rsidRPr="00FC7539">
        <w:rPr>
          <w:rFonts w:ascii="Times New Roman" w:hAnsi="Times New Roman"/>
          <w:sz w:val="24"/>
          <w:szCs w:val="24"/>
        </w:rPr>
        <w:t>điều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phát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bảo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đảm</w:t>
      </w:r>
      <w:proofErr w:type="spellEnd"/>
      <w:r w:rsidRPr="00FC7539">
        <w:rPr>
          <w:rFonts w:ascii="Times New Roman" w:hAnsi="Times New Roman"/>
          <w:sz w:val="24"/>
          <w:szCs w:val="24"/>
        </w:rPr>
        <w:t xml:space="preserve"> an </w:t>
      </w:r>
      <w:proofErr w:type="spellStart"/>
      <w:r w:rsidRPr="00FC7539">
        <w:rPr>
          <w:rFonts w:ascii="Times New Roman" w:hAnsi="Times New Roman"/>
          <w:sz w:val="24"/>
          <w:szCs w:val="24"/>
        </w:rPr>
        <w:t>sinh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xã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hội</w:t>
      </w:r>
      <w:proofErr w:type="spellEnd"/>
      <w:r w:rsidRPr="00FC7539">
        <w:rPr>
          <w:rFonts w:ascii="Times New Roman" w:hAnsi="Times New Roman"/>
          <w:sz w:val="24"/>
          <w:szCs w:val="24"/>
          <w:lang w:val="nl-NL"/>
        </w:rPr>
        <w:t xml:space="preserve">. </w:t>
      </w:r>
      <w:proofErr w:type="spellStart"/>
      <w:r w:rsidRPr="00FC7539">
        <w:rPr>
          <w:rFonts w:ascii="Times New Roman" w:hAnsi="Times New Roman"/>
          <w:sz w:val="24"/>
          <w:szCs w:val="24"/>
        </w:rPr>
        <w:t>Trước</w:t>
      </w:r>
      <w:proofErr w:type="spellEnd"/>
      <w:r w:rsidRPr="00FC7539">
        <w:rPr>
          <w:rFonts w:ascii="Times New Roman" w:hAnsi="Times New Roman"/>
          <w:sz w:val="24"/>
          <w:szCs w:val="24"/>
        </w:rPr>
        <w:t xml:space="preserve"> n</w:t>
      </w:r>
      <w:r w:rsidRPr="00FC7539">
        <w:rPr>
          <w:rFonts w:ascii="Times New Roman" w:hAnsi="Times New Roman"/>
          <w:sz w:val="24"/>
          <w:szCs w:val="24"/>
          <w:lang w:val="vi-VN"/>
        </w:rPr>
        <w:t>hững</w:t>
      </w:r>
      <w:r w:rsidRPr="00FC7539">
        <w:rPr>
          <w:rFonts w:ascii="Times New Roman" w:hAnsi="Times New Roman"/>
          <w:sz w:val="24"/>
          <w:szCs w:val="24"/>
        </w:rPr>
        <w:t xml:space="preserve"> </w:t>
      </w:r>
      <w:proofErr w:type="spellStart"/>
      <w:r w:rsidRPr="00FC7539">
        <w:rPr>
          <w:rFonts w:ascii="Times New Roman" w:hAnsi="Times New Roman"/>
          <w:sz w:val="24"/>
          <w:szCs w:val="24"/>
        </w:rPr>
        <w:t>thuận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lợi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đan</w:t>
      </w:r>
      <w:proofErr w:type="spellEnd"/>
      <w:r w:rsidRPr="00FC7539">
        <w:rPr>
          <w:rFonts w:ascii="Times New Roman" w:hAnsi="Times New Roman"/>
          <w:sz w:val="24"/>
          <w:szCs w:val="24"/>
        </w:rPr>
        <w:t xml:space="preserve"> xen</w:t>
      </w:r>
      <w:r w:rsidR="00E0347F">
        <w:rPr>
          <w:rFonts w:ascii="Times New Roman" w:hAnsi="Times New Roman"/>
          <w:sz w:val="24"/>
          <w:szCs w:val="24"/>
        </w:rPr>
        <w:t>.</w:t>
      </w:r>
      <w:r w:rsidRPr="00FC7539">
        <w:rPr>
          <w:rFonts w:ascii="Times New Roman" w:hAnsi="Times New Roman"/>
          <w:sz w:val="24"/>
          <w:szCs w:val="24"/>
        </w:rPr>
        <w:t xml:space="preserve"> </w:t>
      </w:r>
      <w:r w:rsidRPr="00FC7539">
        <w:rPr>
          <w:rFonts w:ascii="Times New Roman" w:hAnsi="Times New Roman"/>
          <w:sz w:val="24"/>
          <w:szCs w:val="24"/>
          <w:lang w:val="it-IT"/>
        </w:rPr>
        <w:t>Chính phủ ngay từ đầu năm đã chỉ đạo các bộ</w:t>
      </w:r>
      <w:r w:rsidR="00E0347F">
        <w:rPr>
          <w:rFonts w:ascii="Times New Roman" w:hAnsi="Times New Roman"/>
          <w:sz w:val="24"/>
          <w:szCs w:val="24"/>
          <w:lang w:val="it-IT"/>
        </w:rPr>
        <w:t>.</w:t>
      </w:r>
      <w:r w:rsidRPr="00FC7539">
        <w:rPr>
          <w:rFonts w:ascii="Times New Roman" w:hAnsi="Times New Roman"/>
          <w:sz w:val="24"/>
          <w:szCs w:val="24"/>
          <w:lang w:val="it-IT"/>
        </w:rPr>
        <w:t xml:space="preserve"> ngành</w:t>
      </w:r>
      <w:r w:rsidR="00E0347F">
        <w:rPr>
          <w:rFonts w:ascii="Times New Roman" w:hAnsi="Times New Roman"/>
          <w:sz w:val="24"/>
          <w:szCs w:val="24"/>
          <w:lang w:val="it-IT"/>
        </w:rPr>
        <w:t>.</w:t>
      </w:r>
      <w:r w:rsidRPr="00FC7539">
        <w:rPr>
          <w:rFonts w:ascii="Times New Roman" w:hAnsi="Times New Roman"/>
          <w:sz w:val="24"/>
          <w:szCs w:val="24"/>
          <w:lang w:val="it-IT"/>
        </w:rPr>
        <w:t xml:space="preserve"> địa phương thực hiện đồng bộ</w:t>
      </w:r>
      <w:r w:rsidR="00E0347F">
        <w:rPr>
          <w:rFonts w:ascii="Times New Roman" w:hAnsi="Times New Roman"/>
          <w:sz w:val="24"/>
          <w:szCs w:val="24"/>
          <w:lang w:val="it-IT"/>
        </w:rPr>
        <w:t>.</w:t>
      </w:r>
      <w:r w:rsidRPr="00FC7539">
        <w:rPr>
          <w:rFonts w:ascii="Times New Roman" w:hAnsi="Times New Roman"/>
          <w:sz w:val="24"/>
          <w:szCs w:val="24"/>
          <w:lang w:val="it-IT"/>
        </w:rPr>
        <w:t xml:space="preserve"> linh hoạt</w:t>
      </w:r>
      <w:r w:rsidR="00E0347F">
        <w:rPr>
          <w:rFonts w:ascii="Times New Roman" w:hAnsi="Times New Roman"/>
          <w:sz w:val="24"/>
          <w:szCs w:val="24"/>
          <w:lang w:val="it-IT"/>
        </w:rPr>
        <w:t>.</w:t>
      </w:r>
      <w:r w:rsidRPr="00FC7539">
        <w:rPr>
          <w:rFonts w:ascii="Times New Roman" w:hAnsi="Times New Roman"/>
          <w:sz w:val="24"/>
          <w:szCs w:val="24"/>
          <w:lang w:val="it-IT"/>
        </w:rPr>
        <w:t xml:space="preserve"> hiệu quả “mục tiêu kép” vừa phòng</w:t>
      </w:r>
      <w:r w:rsidR="00E0347F">
        <w:rPr>
          <w:rFonts w:ascii="Times New Roman" w:hAnsi="Times New Roman"/>
          <w:sz w:val="24"/>
          <w:szCs w:val="24"/>
          <w:lang w:val="it-IT"/>
        </w:rPr>
        <w:t>.</w:t>
      </w:r>
      <w:r w:rsidRPr="00FC7539">
        <w:rPr>
          <w:rFonts w:ascii="Times New Roman" w:hAnsi="Times New Roman"/>
          <w:sz w:val="24"/>
          <w:szCs w:val="24"/>
          <w:lang w:val="it-IT"/>
        </w:rPr>
        <w:t xml:space="preserve"> chống dịch bệnh</w:t>
      </w:r>
      <w:r w:rsidR="00E0347F">
        <w:rPr>
          <w:rFonts w:ascii="Times New Roman" w:hAnsi="Times New Roman"/>
          <w:sz w:val="24"/>
          <w:szCs w:val="24"/>
          <w:lang w:val="it-IT"/>
        </w:rPr>
        <w:t>.</w:t>
      </w:r>
      <w:r w:rsidRPr="00FC7539">
        <w:rPr>
          <w:rFonts w:ascii="Times New Roman" w:hAnsi="Times New Roman"/>
          <w:sz w:val="24"/>
          <w:szCs w:val="24"/>
          <w:lang w:val="it-IT"/>
        </w:rPr>
        <w:t xml:space="preserve"> bảo vệ sức khỏe nhân dân</w:t>
      </w:r>
      <w:r w:rsidR="00E0347F">
        <w:rPr>
          <w:rFonts w:ascii="Times New Roman" w:hAnsi="Times New Roman"/>
          <w:sz w:val="24"/>
          <w:szCs w:val="24"/>
          <w:lang w:val="it-IT"/>
        </w:rPr>
        <w:t>.</w:t>
      </w:r>
      <w:r w:rsidRPr="00FC7539">
        <w:rPr>
          <w:rFonts w:ascii="Times New Roman" w:hAnsi="Times New Roman"/>
          <w:sz w:val="24"/>
          <w:szCs w:val="24"/>
          <w:lang w:val="it-IT"/>
        </w:rPr>
        <w:t xml:space="preserve"> vừa phục hồi và phát triển kinh tế - xã hội</w:t>
      </w:r>
      <w:r w:rsidR="00E0347F">
        <w:rPr>
          <w:rFonts w:ascii="Times New Roman" w:hAnsi="Times New Roman"/>
          <w:sz w:val="24"/>
          <w:szCs w:val="24"/>
          <w:lang w:val="it-IT"/>
        </w:rPr>
        <w:t>.</w:t>
      </w:r>
      <w:r w:rsidRPr="00FC7539">
        <w:rPr>
          <w:rFonts w:ascii="Times New Roman" w:hAnsi="Times New Roman"/>
          <w:sz w:val="24"/>
          <w:szCs w:val="24"/>
          <w:lang w:val="it-IT"/>
        </w:rPr>
        <w:t xml:space="preserve"> nỗ lực phấn đấu cao nhất thực hiện các mục tiêu</w:t>
      </w:r>
      <w:r w:rsidR="00E0347F">
        <w:rPr>
          <w:rFonts w:ascii="Times New Roman" w:hAnsi="Times New Roman"/>
          <w:sz w:val="24"/>
          <w:szCs w:val="24"/>
          <w:lang w:val="it-IT"/>
        </w:rPr>
        <w:t>.</w:t>
      </w:r>
      <w:r w:rsidRPr="00FC7539">
        <w:rPr>
          <w:rFonts w:ascii="Times New Roman" w:hAnsi="Times New Roman"/>
          <w:sz w:val="24"/>
          <w:szCs w:val="24"/>
          <w:lang w:val="it-IT"/>
        </w:rPr>
        <w:t xml:space="preserve"> nhiệm vụ phát triển kinh tế - xã hội năm 2021. </w:t>
      </w:r>
    </w:p>
    <w:p w14:paraId="76D5CEC8" w14:textId="0C66A014" w:rsidR="00F075DE" w:rsidRPr="00F14111" w:rsidRDefault="00F075DE" w:rsidP="00F075D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Cụ thể</w:t>
      </w:r>
      <w:r w:rsidR="00E0347F">
        <w:rPr>
          <w:rFonts w:ascii="Times New Roman" w:hAnsi="Times New Roman"/>
          <w:sz w:val="24"/>
          <w:szCs w:val="24"/>
          <w:lang w:val="nl-NL"/>
        </w:rPr>
        <w:t>.</w:t>
      </w:r>
      <w:r>
        <w:rPr>
          <w:rFonts w:ascii="Times New Roman" w:hAnsi="Times New Roman"/>
          <w:sz w:val="24"/>
          <w:szCs w:val="24"/>
          <w:lang w:val="nl-NL"/>
        </w:rPr>
        <w:t xml:space="preserve"> </w:t>
      </w:r>
      <w:r w:rsidRPr="00F14111">
        <w:rPr>
          <w:rFonts w:ascii="Times New Roman" w:hAnsi="Times New Roman"/>
          <w:sz w:val="24"/>
          <w:szCs w:val="24"/>
          <w:lang w:val="nl-NL"/>
        </w:rPr>
        <w:t xml:space="preserve">GDP </w:t>
      </w:r>
      <w:r>
        <w:rPr>
          <w:rFonts w:ascii="Times New Roman" w:hAnsi="Times New Roman"/>
          <w:sz w:val="24"/>
          <w:szCs w:val="24"/>
          <w:lang w:val="nl-NL"/>
        </w:rPr>
        <w:t xml:space="preserve">quý 1 </w:t>
      </w:r>
      <w:r w:rsidRPr="00F14111">
        <w:rPr>
          <w:rFonts w:ascii="Times New Roman" w:hAnsi="Times New Roman"/>
          <w:sz w:val="24"/>
          <w:szCs w:val="24"/>
          <w:lang w:val="nl-NL"/>
        </w:rPr>
        <w:t>năm 202</w:t>
      </w:r>
      <w:r>
        <w:rPr>
          <w:rFonts w:ascii="Times New Roman" w:hAnsi="Times New Roman"/>
          <w:sz w:val="24"/>
          <w:szCs w:val="24"/>
          <w:lang w:val="nl-NL"/>
        </w:rPr>
        <w:t>1</w:t>
      </w:r>
      <w:r w:rsidRPr="00F14111">
        <w:rPr>
          <w:rFonts w:ascii="Times New Roman" w:hAnsi="Times New Roman"/>
          <w:sz w:val="24"/>
          <w:szCs w:val="24"/>
          <w:lang w:val="nl-NL"/>
        </w:rPr>
        <w:t xml:space="preserve"> tăng trưởng </w:t>
      </w:r>
      <w:r>
        <w:rPr>
          <w:rFonts w:ascii="Times New Roman" w:hAnsi="Times New Roman"/>
          <w:sz w:val="24"/>
          <w:szCs w:val="24"/>
          <w:lang w:val="nl-NL"/>
        </w:rPr>
        <w:t>4</w:t>
      </w:r>
      <w:r w:rsidR="00E0347F">
        <w:rPr>
          <w:rFonts w:ascii="Times New Roman" w:hAnsi="Times New Roman"/>
          <w:sz w:val="24"/>
          <w:szCs w:val="24"/>
          <w:lang w:val="nl-NL"/>
        </w:rPr>
        <w:t>.</w:t>
      </w:r>
      <w:r>
        <w:rPr>
          <w:rFonts w:ascii="Times New Roman" w:hAnsi="Times New Roman"/>
          <w:sz w:val="24"/>
          <w:szCs w:val="24"/>
          <w:lang w:val="nl-NL"/>
        </w:rPr>
        <w:t>48</w:t>
      </w:r>
      <w:r w:rsidRPr="00F14111">
        <w:rPr>
          <w:rFonts w:ascii="Times New Roman" w:hAnsi="Times New Roman"/>
          <w:sz w:val="24"/>
          <w:szCs w:val="24"/>
          <w:lang w:val="nl-NL"/>
        </w:rPr>
        <w:t>%</w:t>
      </w:r>
      <w:r>
        <w:rPr>
          <w:rFonts w:ascii="Times New Roman" w:hAnsi="Times New Roman"/>
          <w:sz w:val="24"/>
          <w:szCs w:val="24"/>
          <w:lang w:val="nl-NL"/>
        </w:rPr>
        <w:t xml:space="preserve"> cao hơn </w:t>
      </w:r>
      <w:r w:rsidRPr="00F14111">
        <w:rPr>
          <w:rFonts w:ascii="Times New Roman" w:hAnsi="Times New Roman"/>
          <w:sz w:val="24"/>
          <w:szCs w:val="24"/>
          <w:lang w:val="nl-NL"/>
        </w:rPr>
        <w:t>so với cùng kỳ</w:t>
      </w:r>
      <w:r>
        <w:rPr>
          <w:rFonts w:ascii="Times New Roman" w:hAnsi="Times New Roman"/>
          <w:sz w:val="24"/>
          <w:szCs w:val="24"/>
          <w:lang w:val="nl-NL"/>
        </w:rPr>
        <w:t xml:space="preserve"> 2020 ở mức 3</w:t>
      </w:r>
      <w:r w:rsidR="00E0347F">
        <w:rPr>
          <w:rFonts w:ascii="Times New Roman" w:hAnsi="Times New Roman"/>
          <w:sz w:val="24"/>
          <w:szCs w:val="24"/>
          <w:lang w:val="nl-NL"/>
        </w:rPr>
        <w:t>.</w:t>
      </w:r>
      <w:r>
        <w:rPr>
          <w:rFonts w:ascii="Times New Roman" w:hAnsi="Times New Roman"/>
          <w:sz w:val="24"/>
          <w:szCs w:val="24"/>
          <w:lang w:val="nl-NL"/>
        </w:rPr>
        <w:t>68%. M</w:t>
      </w:r>
      <w:r w:rsidRPr="00F14111">
        <w:rPr>
          <w:rFonts w:ascii="Times New Roman" w:hAnsi="Times New Roman"/>
          <w:sz w:val="24"/>
          <w:szCs w:val="24"/>
          <w:lang w:val="nl-NL"/>
        </w:rPr>
        <w:t xml:space="preserve">ặc dù mức tăng trưởng này </w:t>
      </w:r>
      <w:r>
        <w:rPr>
          <w:rFonts w:ascii="Times New Roman" w:hAnsi="Times New Roman"/>
          <w:sz w:val="24"/>
          <w:szCs w:val="24"/>
          <w:lang w:val="nl-NL"/>
        </w:rPr>
        <w:t>chưa thực sự như mong đợi của thị trường</w:t>
      </w:r>
      <w:r w:rsidR="00E0347F">
        <w:rPr>
          <w:rFonts w:ascii="Times New Roman" w:hAnsi="Times New Roman"/>
          <w:sz w:val="24"/>
          <w:szCs w:val="24"/>
          <w:lang w:val="nl-NL"/>
        </w:rPr>
        <w:t>.</w:t>
      </w:r>
      <w:r w:rsidRPr="00F14111">
        <w:rPr>
          <w:rFonts w:ascii="Times New Roman" w:hAnsi="Times New Roman"/>
          <w:sz w:val="24"/>
          <w:szCs w:val="24"/>
          <w:lang w:val="nl-NL"/>
        </w:rPr>
        <w:t xml:space="preserve"> tuy nhiên </w:t>
      </w:r>
      <w:r>
        <w:rPr>
          <w:rFonts w:ascii="Times New Roman" w:hAnsi="Times New Roman"/>
          <w:sz w:val="24"/>
          <w:szCs w:val="24"/>
          <w:lang w:val="nl-NL"/>
        </w:rPr>
        <w:t>trong bối cảnh trước kỳ nghỉ Tết Nguyên Đán dịch bệnh bùng phát ở các tỉnh phía Bắc thì mức tăng này đáng được ghi nhận tích cực</w:t>
      </w:r>
      <w:r w:rsidRPr="00F14111">
        <w:rPr>
          <w:rFonts w:ascii="Times New Roman" w:hAnsi="Times New Roman"/>
          <w:sz w:val="24"/>
          <w:szCs w:val="24"/>
          <w:lang w:val="nl-NL"/>
        </w:rPr>
        <w:t xml:space="preserve">. </w:t>
      </w:r>
      <w:r>
        <w:rPr>
          <w:rFonts w:ascii="Times New Roman" w:hAnsi="Times New Roman"/>
          <w:sz w:val="24"/>
          <w:szCs w:val="24"/>
          <w:lang w:val="nl-NL"/>
        </w:rPr>
        <w:t xml:space="preserve">Quý đầu năm 2021 </w:t>
      </w:r>
      <w:proofErr w:type="spellStart"/>
      <w:r w:rsidRPr="00670552">
        <w:rPr>
          <w:rFonts w:ascii="Times New Roman" w:hAnsi="Times New Roman"/>
          <w:sz w:val="24"/>
          <w:szCs w:val="24"/>
        </w:rPr>
        <w:t>ghi</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nhận</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sự</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phục</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hồi</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mạnh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mẽ</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của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hoạt</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động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xuất</w:t>
      </w:r>
      <w:proofErr w:type="spellEnd"/>
      <w:r w:rsidR="00E0347F">
        <w:rPr>
          <w:rFonts w:ascii="Times New Roman" w:hAnsi="Times New Roman"/>
          <w:sz w:val="24"/>
          <w:szCs w:val="24"/>
        </w:rPr>
        <w:t>.</w:t>
      </w:r>
      <w:r w:rsidRPr="00670552">
        <w:rPr>
          <w:rFonts w:ascii="Times New Roman" w:hAnsi="Times New Roman"/>
          <w:sz w:val="24"/>
          <w:szCs w:val="24"/>
        </w:rPr>
        <w:t xml:space="preserve"> </w:t>
      </w:r>
      <w:proofErr w:type="spellStart"/>
      <w:r w:rsidRPr="00670552">
        <w:rPr>
          <w:rFonts w:ascii="Times New Roman" w:hAnsi="Times New Roman"/>
          <w:sz w:val="24"/>
          <w:szCs w:val="24"/>
        </w:rPr>
        <w:t>nhập</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khẩu</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Tổng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kim</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ngạch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xuất</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nhập</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khẩu</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hàng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hóa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quý</w:t>
      </w:r>
      <w:proofErr w:type="spellEnd"/>
      <w:r w:rsidRPr="00670552">
        <w:rPr>
          <w:rFonts w:ascii="Times New Roman" w:hAnsi="Times New Roman"/>
          <w:sz w:val="24"/>
          <w:szCs w:val="24"/>
        </w:rPr>
        <w:t xml:space="preserve"> I/2021 </w:t>
      </w:r>
      <w:proofErr w:type="spellStart"/>
      <w:r w:rsidRPr="00670552">
        <w:rPr>
          <w:rFonts w:ascii="Times New Roman" w:hAnsi="Times New Roman"/>
          <w:sz w:val="24"/>
          <w:szCs w:val="24"/>
        </w:rPr>
        <w:t>ước</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tính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đạt</w:t>
      </w:r>
      <w:proofErr w:type="spellEnd"/>
      <w:r w:rsidRPr="00670552">
        <w:rPr>
          <w:rFonts w:ascii="Times New Roman" w:hAnsi="Times New Roman"/>
          <w:sz w:val="24"/>
          <w:szCs w:val="24"/>
        </w:rPr>
        <w:t xml:space="preserve"> 15</w:t>
      </w:r>
      <w:r>
        <w:rPr>
          <w:rFonts w:ascii="Times New Roman" w:hAnsi="Times New Roman"/>
          <w:sz w:val="24"/>
          <w:szCs w:val="24"/>
        </w:rPr>
        <w:t>3</w:t>
      </w:r>
      <w:r w:rsidRPr="00670552">
        <w:rPr>
          <w:rFonts w:ascii="Times New Roman" w:hAnsi="Times New Roman"/>
          <w:sz w:val="24"/>
          <w:szCs w:val="24"/>
        </w:rPr>
        <w:t xml:space="preserve"> </w:t>
      </w:r>
      <w:proofErr w:type="spellStart"/>
      <w:r w:rsidRPr="00670552">
        <w:rPr>
          <w:rFonts w:ascii="Times New Roman" w:hAnsi="Times New Roman"/>
          <w:sz w:val="24"/>
          <w:szCs w:val="24"/>
        </w:rPr>
        <w:t>tỷ</w:t>
      </w:r>
      <w:proofErr w:type="spellEnd"/>
      <w:r w:rsidRPr="00670552">
        <w:rPr>
          <w:rFonts w:ascii="Times New Roman" w:hAnsi="Times New Roman"/>
          <w:sz w:val="24"/>
          <w:szCs w:val="24"/>
        </w:rPr>
        <w:t xml:space="preserve"> USD</w:t>
      </w:r>
      <w:r w:rsidR="00E0347F">
        <w:rPr>
          <w:rFonts w:ascii="Times New Roman" w:hAnsi="Times New Roman"/>
          <w:sz w:val="24"/>
          <w:szCs w:val="24"/>
        </w:rPr>
        <w:t>.</w:t>
      </w:r>
      <w:r w:rsidRPr="00670552">
        <w:rPr>
          <w:rFonts w:ascii="Times New Roman" w:hAnsi="Times New Roman"/>
          <w:sz w:val="24"/>
          <w:szCs w:val="24"/>
        </w:rPr>
        <w:t xml:space="preserve"> </w:t>
      </w:r>
      <w:proofErr w:type="spellStart"/>
      <w:r w:rsidRPr="00670552">
        <w:rPr>
          <w:rFonts w:ascii="Times New Roman" w:hAnsi="Times New Roman"/>
          <w:sz w:val="24"/>
          <w:szCs w:val="24"/>
        </w:rPr>
        <w:t>tăng</w:t>
      </w:r>
      <w:proofErr w:type="spellEnd"/>
      <w:r w:rsidRPr="00670552">
        <w:rPr>
          <w:rFonts w:ascii="Times New Roman" w:hAnsi="Times New Roman"/>
          <w:sz w:val="24"/>
          <w:szCs w:val="24"/>
        </w:rPr>
        <w:t xml:space="preserve"> 24% so </w:t>
      </w:r>
      <w:proofErr w:type="spellStart"/>
      <w:r w:rsidRPr="00670552">
        <w:rPr>
          <w:rFonts w:ascii="Times New Roman" w:hAnsi="Times New Roman"/>
          <w:sz w:val="24"/>
          <w:szCs w:val="24"/>
        </w:rPr>
        <w:t>với</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cùng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kỳ</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năm</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trước</w:t>
      </w:r>
      <w:proofErr w:type="spellEnd"/>
      <w:r w:rsidR="00E0347F">
        <w:rPr>
          <w:rFonts w:ascii="Times New Roman" w:hAnsi="Times New Roman"/>
          <w:sz w:val="24"/>
          <w:szCs w:val="24"/>
        </w:rPr>
        <w:t>.</w:t>
      </w:r>
      <w:r w:rsidRPr="00670552">
        <w:rPr>
          <w:rFonts w:ascii="Times New Roman" w:hAnsi="Times New Roman"/>
          <w:sz w:val="24"/>
          <w:szCs w:val="24"/>
        </w:rPr>
        <w:t xml:space="preserve"> </w:t>
      </w:r>
      <w:proofErr w:type="spellStart"/>
      <w:r w:rsidRPr="00670552">
        <w:rPr>
          <w:rFonts w:ascii="Times New Roman" w:hAnsi="Times New Roman"/>
          <w:sz w:val="24"/>
          <w:szCs w:val="24"/>
        </w:rPr>
        <w:t>trong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đó</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kim</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ngạch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xuất</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khẩu</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hàng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hóa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đạt</w:t>
      </w:r>
      <w:proofErr w:type="spellEnd"/>
      <w:r w:rsidRPr="00670552">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r w:rsidRPr="00670552">
        <w:rPr>
          <w:rFonts w:ascii="Times New Roman" w:hAnsi="Times New Roman"/>
          <w:sz w:val="24"/>
          <w:szCs w:val="24"/>
        </w:rPr>
        <w:t xml:space="preserve">77 </w:t>
      </w:r>
      <w:proofErr w:type="spellStart"/>
      <w:r w:rsidRPr="00670552">
        <w:rPr>
          <w:rFonts w:ascii="Times New Roman" w:hAnsi="Times New Roman"/>
          <w:sz w:val="24"/>
          <w:szCs w:val="24"/>
        </w:rPr>
        <w:t>tỷ</w:t>
      </w:r>
      <w:proofErr w:type="spellEnd"/>
      <w:r w:rsidRPr="00670552">
        <w:rPr>
          <w:rFonts w:ascii="Times New Roman" w:hAnsi="Times New Roman"/>
          <w:sz w:val="24"/>
          <w:szCs w:val="24"/>
        </w:rPr>
        <w:t xml:space="preserve"> USD</w:t>
      </w:r>
      <w:r w:rsidR="00E0347F">
        <w:rPr>
          <w:rFonts w:ascii="Times New Roman" w:hAnsi="Times New Roman"/>
          <w:sz w:val="24"/>
          <w:szCs w:val="24"/>
        </w:rPr>
        <w:t>.</w:t>
      </w:r>
      <w:r w:rsidRPr="00670552">
        <w:rPr>
          <w:rFonts w:ascii="Times New Roman" w:hAnsi="Times New Roman"/>
          <w:sz w:val="24"/>
          <w:szCs w:val="24"/>
        </w:rPr>
        <w:t xml:space="preserve"> </w:t>
      </w:r>
      <w:proofErr w:type="spellStart"/>
      <w:r w:rsidRPr="00670552">
        <w:rPr>
          <w:rFonts w:ascii="Times New Roman" w:hAnsi="Times New Roman"/>
          <w:sz w:val="24"/>
          <w:szCs w:val="24"/>
        </w:rPr>
        <w:t>tăng</w:t>
      </w:r>
      <w:proofErr w:type="spellEnd"/>
      <w:r w:rsidRPr="00670552">
        <w:rPr>
          <w:rFonts w:ascii="Times New Roman" w:hAnsi="Times New Roman"/>
          <w:sz w:val="24"/>
          <w:szCs w:val="24"/>
        </w:rPr>
        <w:t xml:space="preserve"> 22%; </w:t>
      </w:r>
      <w:proofErr w:type="spellStart"/>
      <w:r w:rsidRPr="00670552">
        <w:rPr>
          <w:rFonts w:ascii="Times New Roman" w:hAnsi="Times New Roman"/>
          <w:sz w:val="24"/>
          <w:szCs w:val="24"/>
        </w:rPr>
        <w:t>nhập</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khẩu</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hàng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hóa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đạt</w:t>
      </w:r>
      <w:proofErr w:type="spellEnd"/>
      <w:r w:rsidRPr="00670552">
        <w:rPr>
          <w:rFonts w:ascii="Times New Roman" w:hAnsi="Times New Roman"/>
          <w:sz w:val="24"/>
          <w:szCs w:val="24"/>
        </w:rPr>
        <w:t xml:space="preserve"> 75 </w:t>
      </w:r>
      <w:proofErr w:type="spellStart"/>
      <w:r w:rsidRPr="00670552">
        <w:rPr>
          <w:rFonts w:ascii="Times New Roman" w:hAnsi="Times New Roman"/>
          <w:sz w:val="24"/>
          <w:szCs w:val="24"/>
        </w:rPr>
        <w:t>tỷ</w:t>
      </w:r>
      <w:proofErr w:type="spellEnd"/>
      <w:r w:rsidRPr="00670552">
        <w:rPr>
          <w:rFonts w:ascii="Times New Roman" w:hAnsi="Times New Roman"/>
          <w:sz w:val="24"/>
          <w:szCs w:val="24"/>
        </w:rPr>
        <w:t xml:space="preserve"> USD</w:t>
      </w:r>
      <w:r w:rsidR="00E0347F">
        <w:rPr>
          <w:rFonts w:ascii="Times New Roman" w:hAnsi="Times New Roman"/>
          <w:sz w:val="24"/>
          <w:szCs w:val="24"/>
        </w:rPr>
        <w:t>.</w:t>
      </w:r>
      <w:r w:rsidRPr="00670552">
        <w:rPr>
          <w:rFonts w:ascii="Times New Roman" w:hAnsi="Times New Roman"/>
          <w:sz w:val="24"/>
          <w:szCs w:val="24"/>
        </w:rPr>
        <w:t xml:space="preserve"> </w:t>
      </w:r>
      <w:proofErr w:type="spellStart"/>
      <w:r w:rsidRPr="00670552">
        <w:rPr>
          <w:rFonts w:ascii="Times New Roman" w:hAnsi="Times New Roman"/>
          <w:sz w:val="24"/>
          <w:szCs w:val="24"/>
        </w:rPr>
        <w:t>tăng</w:t>
      </w:r>
      <w:proofErr w:type="spellEnd"/>
      <w:r w:rsidRPr="00670552">
        <w:rPr>
          <w:rFonts w:ascii="Times New Roman" w:hAnsi="Times New Roman"/>
          <w:sz w:val="24"/>
          <w:szCs w:val="24"/>
        </w:rPr>
        <w:t xml:space="preserve"> 26</w:t>
      </w:r>
      <w:r w:rsidRPr="00670552">
        <w:rPr>
          <w:rFonts w:ascii="Times New Roman" w:hAnsi="Times New Roman"/>
          <w:bCs/>
          <w:sz w:val="24"/>
          <w:szCs w:val="24"/>
        </w:rPr>
        <w:t>%.</w:t>
      </w:r>
      <w:r w:rsidRPr="00670552">
        <w:rPr>
          <w:rFonts w:ascii="Times New Roman" w:hAnsi="Times New Roman"/>
          <w:sz w:val="24"/>
          <w:szCs w:val="24"/>
        </w:rPr>
        <w:t xml:space="preserve"> </w:t>
      </w:r>
      <w:proofErr w:type="spellStart"/>
      <w:r w:rsidRPr="00670552">
        <w:rPr>
          <w:rFonts w:ascii="Times New Roman" w:hAnsi="Times New Roman"/>
          <w:sz w:val="24"/>
          <w:szCs w:val="24"/>
        </w:rPr>
        <w:t>Cán</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cân</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thương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mại</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hàng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hóa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quý</w:t>
      </w:r>
      <w:proofErr w:type="spellEnd"/>
      <w:r w:rsidRPr="00670552">
        <w:rPr>
          <w:rFonts w:ascii="Times New Roman" w:hAnsi="Times New Roman"/>
          <w:sz w:val="24"/>
          <w:szCs w:val="24"/>
        </w:rPr>
        <w:t xml:space="preserve"> I/2021 </w:t>
      </w:r>
      <w:proofErr w:type="spellStart"/>
      <w:r w:rsidRPr="00670552">
        <w:rPr>
          <w:rFonts w:ascii="Times New Roman" w:hAnsi="Times New Roman"/>
          <w:sz w:val="24"/>
          <w:szCs w:val="24"/>
        </w:rPr>
        <w:t>ước</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tính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xuất</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siêu</w:t>
      </w:r>
      <w:proofErr w:type="spellEnd"/>
      <w:r w:rsidRPr="00670552">
        <w:rPr>
          <w:rFonts w:ascii="Times New Roman" w:hAnsi="Times New Roman"/>
          <w:sz w:val="24"/>
          <w:szCs w:val="24"/>
        </w:rPr>
        <w:t xml:space="preserve"> 2 </w:t>
      </w:r>
      <w:proofErr w:type="spellStart"/>
      <w:r w:rsidRPr="00670552">
        <w:rPr>
          <w:rFonts w:ascii="Times New Roman" w:hAnsi="Times New Roman"/>
          <w:sz w:val="24"/>
          <w:szCs w:val="24"/>
        </w:rPr>
        <w:t>tỷ</w:t>
      </w:r>
      <w:proofErr w:type="spellEnd"/>
      <w:r w:rsidRPr="00670552">
        <w:rPr>
          <w:rFonts w:ascii="Times New Roman" w:hAnsi="Times New Roman"/>
          <w:sz w:val="24"/>
          <w:szCs w:val="24"/>
        </w:rPr>
        <w:t xml:space="preserve"> USD</w:t>
      </w:r>
      <w:r w:rsidRPr="00F14111">
        <w:rPr>
          <w:rFonts w:ascii="Times New Roman" w:hAnsi="Times New Roman"/>
          <w:sz w:val="24"/>
          <w:szCs w:val="24"/>
          <w:lang w:val="nl-NL"/>
        </w:rPr>
        <w:t xml:space="preserve">. Chỉ số Nhà quản trị mua hàng (PMI) </w:t>
      </w:r>
      <w:r>
        <w:rPr>
          <w:rFonts w:ascii="Times New Roman" w:hAnsi="Times New Roman"/>
          <w:sz w:val="24"/>
          <w:szCs w:val="24"/>
          <w:lang w:val="nl-NL"/>
        </w:rPr>
        <w:t>tháng 3 năm 2021 ghi nhận ở mức 53.6</w:t>
      </w:r>
      <w:r w:rsidR="00E0347F">
        <w:rPr>
          <w:rFonts w:ascii="Times New Roman" w:hAnsi="Times New Roman"/>
          <w:sz w:val="24"/>
          <w:szCs w:val="24"/>
          <w:lang w:val="nl-NL"/>
        </w:rPr>
        <w:t>.</w:t>
      </w:r>
      <w:r>
        <w:rPr>
          <w:rFonts w:ascii="Times New Roman" w:hAnsi="Times New Roman"/>
          <w:sz w:val="24"/>
          <w:szCs w:val="24"/>
          <w:lang w:val="nl-NL"/>
        </w:rPr>
        <w:t xml:space="preserve"> đây là mức PMI cao nhất của Việt Nam kể từ tháng 01/2019</w:t>
      </w:r>
      <w:r w:rsidRPr="00F14111">
        <w:rPr>
          <w:rFonts w:ascii="Times New Roman" w:hAnsi="Times New Roman"/>
          <w:sz w:val="24"/>
          <w:szCs w:val="24"/>
          <w:lang w:val="nl-NL"/>
        </w:rPr>
        <w:t xml:space="preserve">. Tình hình thu hút vốn đầu tư </w:t>
      </w:r>
      <w:r>
        <w:rPr>
          <w:rFonts w:ascii="Times New Roman" w:hAnsi="Times New Roman"/>
          <w:sz w:val="24"/>
          <w:szCs w:val="24"/>
          <w:lang w:val="nl-NL"/>
        </w:rPr>
        <w:t xml:space="preserve">trực tiếp </w:t>
      </w:r>
      <w:r w:rsidRPr="00F14111">
        <w:rPr>
          <w:rFonts w:ascii="Times New Roman" w:hAnsi="Times New Roman"/>
          <w:sz w:val="24"/>
          <w:szCs w:val="24"/>
          <w:lang w:val="nl-NL"/>
        </w:rPr>
        <w:t xml:space="preserve">nước ngoài </w:t>
      </w:r>
      <w:r>
        <w:rPr>
          <w:rFonts w:ascii="Times New Roman" w:hAnsi="Times New Roman"/>
          <w:sz w:val="24"/>
          <w:szCs w:val="24"/>
          <w:lang w:val="nl-NL"/>
        </w:rPr>
        <w:t>(</w:t>
      </w:r>
      <w:r w:rsidRPr="00F14111">
        <w:rPr>
          <w:rFonts w:ascii="Times New Roman" w:hAnsi="Times New Roman"/>
          <w:sz w:val="24"/>
          <w:szCs w:val="24"/>
          <w:lang w:val="nl-NL"/>
        </w:rPr>
        <w:t>FDI</w:t>
      </w:r>
      <w:r>
        <w:rPr>
          <w:rFonts w:ascii="Times New Roman" w:hAnsi="Times New Roman"/>
          <w:sz w:val="24"/>
          <w:szCs w:val="24"/>
          <w:lang w:val="nl-NL"/>
        </w:rPr>
        <w:t>)</w:t>
      </w:r>
      <w:r w:rsidRPr="00F14111">
        <w:rPr>
          <w:rFonts w:ascii="Times New Roman" w:hAnsi="Times New Roman"/>
          <w:sz w:val="24"/>
          <w:szCs w:val="24"/>
          <w:lang w:val="nl-NL"/>
        </w:rPr>
        <w:t xml:space="preserve"> </w:t>
      </w:r>
      <w:r>
        <w:rPr>
          <w:rFonts w:ascii="Times New Roman" w:hAnsi="Times New Roman"/>
          <w:sz w:val="24"/>
          <w:szCs w:val="24"/>
          <w:lang w:val="nl-NL"/>
        </w:rPr>
        <w:t xml:space="preserve">lũy kế trong 3 tháng đầu </w:t>
      </w:r>
      <w:r w:rsidRPr="00F14111">
        <w:rPr>
          <w:rFonts w:ascii="Times New Roman" w:hAnsi="Times New Roman"/>
          <w:sz w:val="24"/>
          <w:szCs w:val="24"/>
          <w:lang w:val="nl-NL"/>
        </w:rPr>
        <w:t xml:space="preserve">năm </w:t>
      </w:r>
      <w:r>
        <w:rPr>
          <w:rFonts w:ascii="Times New Roman" w:hAnsi="Times New Roman"/>
          <w:sz w:val="24"/>
          <w:szCs w:val="24"/>
          <w:lang w:val="nl-NL"/>
        </w:rPr>
        <w:t>đã được cải thiện</w:t>
      </w:r>
      <w:r w:rsidRPr="00F14111">
        <w:rPr>
          <w:rFonts w:ascii="Times New Roman" w:hAnsi="Times New Roman"/>
          <w:sz w:val="24"/>
          <w:szCs w:val="24"/>
          <w:lang w:val="nl-NL"/>
        </w:rPr>
        <w:t xml:space="preserve"> cả về vốn giải ngân và vốn đăng ký với mức </w:t>
      </w:r>
      <w:r>
        <w:rPr>
          <w:rFonts w:ascii="Times New Roman" w:hAnsi="Times New Roman"/>
          <w:sz w:val="24"/>
          <w:szCs w:val="24"/>
          <w:lang w:val="nl-NL"/>
        </w:rPr>
        <w:t xml:space="preserve">tăng </w:t>
      </w:r>
      <w:r w:rsidRPr="00F14111">
        <w:rPr>
          <w:rFonts w:ascii="Times New Roman" w:hAnsi="Times New Roman"/>
          <w:sz w:val="24"/>
          <w:szCs w:val="24"/>
          <w:lang w:val="nl-NL"/>
        </w:rPr>
        <w:t xml:space="preserve">lần lượt là </w:t>
      </w:r>
      <w:r>
        <w:rPr>
          <w:rFonts w:ascii="Times New Roman" w:hAnsi="Times New Roman"/>
          <w:sz w:val="24"/>
          <w:szCs w:val="24"/>
          <w:lang w:val="nl-NL"/>
        </w:rPr>
        <w:t>6.5</w:t>
      </w:r>
      <w:r w:rsidRPr="00F14111">
        <w:rPr>
          <w:rFonts w:ascii="Times New Roman" w:hAnsi="Times New Roman"/>
          <w:sz w:val="24"/>
          <w:szCs w:val="24"/>
          <w:lang w:val="nl-NL"/>
        </w:rPr>
        <w:t xml:space="preserve">% và </w:t>
      </w:r>
      <w:r>
        <w:rPr>
          <w:rFonts w:ascii="Times New Roman" w:hAnsi="Times New Roman"/>
          <w:sz w:val="24"/>
          <w:szCs w:val="24"/>
          <w:lang w:val="nl-NL"/>
        </w:rPr>
        <w:t>18.5</w:t>
      </w:r>
      <w:r w:rsidRPr="00F14111">
        <w:rPr>
          <w:rFonts w:ascii="Times New Roman" w:hAnsi="Times New Roman"/>
          <w:sz w:val="24"/>
          <w:szCs w:val="24"/>
          <w:lang w:val="nl-NL"/>
        </w:rPr>
        <w:t>% so với cùng kỳ năm trước</w:t>
      </w:r>
      <w:r w:rsidR="00E0347F">
        <w:rPr>
          <w:rFonts w:ascii="Times New Roman" w:hAnsi="Times New Roman"/>
          <w:sz w:val="24"/>
          <w:szCs w:val="24"/>
          <w:lang w:val="nl-NL"/>
        </w:rPr>
        <w:t>.</w:t>
      </w:r>
      <w:r w:rsidRPr="00F14111">
        <w:rPr>
          <w:rFonts w:ascii="Times New Roman" w:hAnsi="Times New Roman"/>
          <w:sz w:val="24"/>
          <w:szCs w:val="24"/>
          <w:lang w:val="nl-NL"/>
        </w:rPr>
        <w:t xml:space="preserve"> đạt mức giải ngân gần </w:t>
      </w:r>
      <w:r>
        <w:rPr>
          <w:rFonts w:ascii="Times New Roman" w:hAnsi="Times New Roman"/>
          <w:sz w:val="24"/>
          <w:szCs w:val="24"/>
          <w:lang w:val="nl-NL"/>
        </w:rPr>
        <w:t>4</w:t>
      </w:r>
      <w:r w:rsidR="00E0347F">
        <w:rPr>
          <w:rFonts w:ascii="Times New Roman" w:hAnsi="Times New Roman"/>
          <w:sz w:val="24"/>
          <w:szCs w:val="24"/>
          <w:lang w:val="nl-NL"/>
        </w:rPr>
        <w:t>.</w:t>
      </w:r>
      <w:r>
        <w:rPr>
          <w:rFonts w:ascii="Times New Roman" w:hAnsi="Times New Roman"/>
          <w:sz w:val="24"/>
          <w:szCs w:val="24"/>
          <w:lang w:val="nl-NL"/>
        </w:rPr>
        <w:t>1</w:t>
      </w:r>
      <w:r w:rsidRPr="00F14111">
        <w:rPr>
          <w:rFonts w:ascii="Times New Roman" w:hAnsi="Times New Roman"/>
          <w:sz w:val="24"/>
          <w:szCs w:val="24"/>
          <w:lang w:val="nl-NL"/>
        </w:rPr>
        <w:t xml:space="preserve"> tỷ USD và đ</w:t>
      </w:r>
      <w:r>
        <w:rPr>
          <w:rFonts w:ascii="Times New Roman" w:hAnsi="Times New Roman"/>
          <w:sz w:val="24"/>
          <w:szCs w:val="24"/>
          <w:lang w:val="nl-NL"/>
        </w:rPr>
        <w:t>ă</w:t>
      </w:r>
      <w:r w:rsidRPr="00F14111">
        <w:rPr>
          <w:rFonts w:ascii="Times New Roman" w:hAnsi="Times New Roman"/>
          <w:sz w:val="24"/>
          <w:szCs w:val="24"/>
          <w:lang w:val="nl-NL"/>
        </w:rPr>
        <w:t xml:space="preserve">ng ký mới là </w:t>
      </w:r>
      <w:r>
        <w:rPr>
          <w:rFonts w:ascii="Times New Roman" w:hAnsi="Times New Roman"/>
          <w:sz w:val="24"/>
          <w:szCs w:val="24"/>
          <w:lang w:val="nl-NL"/>
        </w:rPr>
        <w:t>hơn 10</w:t>
      </w:r>
      <w:r w:rsidRPr="00F14111">
        <w:rPr>
          <w:rFonts w:ascii="Times New Roman" w:hAnsi="Times New Roman"/>
          <w:sz w:val="24"/>
          <w:szCs w:val="24"/>
          <w:lang w:val="nl-NL"/>
        </w:rPr>
        <w:t xml:space="preserve"> tỷ USD</w:t>
      </w:r>
      <w:r>
        <w:rPr>
          <w:rFonts w:ascii="Times New Roman" w:hAnsi="Times New Roman"/>
          <w:sz w:val="24"/>
          <w:szCs w:val="24"/>
          <w:lang w:val="nl-NL"/>
        </w:rPr>
        <w:t>.</w:t>
      </w:r>
      <w:r w:rsidRPr="00F14111">
        <w:rPr>
          <w:rFonts w:ascii="Times New Roman" w:hAnsi="Times New Roman"/>
          <w:sz w:val="24"/>
          <w:szCs w:val="24"/>
          <w:lang w:val="nl-NL"/>
        </w:rPr>
        <w:t xml:space="preserve"> </w:t>
      </w:r>
      <w:r>
        <w:rPr>
          <w:rFonts w:ascii="Times New Roman" w:hAnsi="Times New Roman"/>
          <w:sz w:val="24"/>
          <w:szCs w:val="24"/>
          <w:lang w:val="nl-NL"/>
        </w:rPr>
        <w:t>T</w:t>
      </w:r>
      <w:r w:rsidRPr="00F14111">
        <w:rPr>
          <w:rFonts w:ascii="Times New Roman" w:hAnsi="Times New Roman"/>
          <w:sz w:val="24"/>
          <w:szCs w:val="24"/>
          <w:lang w:val="nl-NL"/>
        </w:rPr>
        <w:t>rong khi đó</w:t>
      </w:r>
      <w:r w:rsidR="00E0347F">
        <w:rPr>
          <w:rFonts w:ascii="Times New Roman" w:hAnsi="Times New Roman"/>
          <w:sz w:val="24"/>
          <w:szCs w:val="24"/>
          <w:lang w:val="nl-NL"/>
        </w:rPr>
        <w:t>.</w:t>
      </w:r>
      <w:r w:rsidRPr="00F14111">
        <w:rPr>
          <w:rFonts w:ascii="Times New Roman" w:hAnsi="Times New Roman"/>
          <w:sz w:val="24"/>
          <w:szCs w:val="24"/>
          <w:lang w:val="nl-NL"/>
        </w:rPr>
        <w:t xml:space="preserve"> kiểm soát lạm phát là điểm sáng trong bức tranh vĩ mô của Việt Nam</w:t>
      </w:r>
      <w:r w:rsidR="00E0347F">
        <w:rPr>
          <w:rFonts w:ascii="Times New Roman" w:hAnsi="Times New Roman"/>
          <w:sz w:val="24"/>
          <w:szCs w:val="24"/>
          <w:lang w:val="nl-NL"/>
        </w:rPr>
        <w:t>.</w:t>
      </w:r>
      <w:r w:rsidRPr="00F14111">
        <w:rPr>
          <w:rFonts w:ascii="Times New Roman" w:hAnsi="Times New Roman"/>
          <w:sz w:val="24"/>
          <w:szCs w:val="24"/>
          <w:lang w:val="nl-NL"/>
        </w:rPr>
        <w:t xml:space="preserve"> Chính Phủ đã thành công trong việc kiểm soát CPI bình quân dưới mức mục tiêu 4%</w:t>
      </w:r>
      <w:r w:rsidR="00E0347F">
        <w:rPr>
          <w:rFonts w:ascii="Times New Roman" w:hAnsi="Times New Roman"/>
          <w:sz w:val="24"/>
          <w:szCs w:val="24"/>
          <w:lang w:val="nl-NL"/>
        </w:rPr>
        <w:t>.</w:t>
      </w:r>
      <w:r w:rsidRPr="00F14111">
        <w:rPr>
          <w:rFonts w:ascii="Times New Roman" w:hAnsi="Times New Roman"/>
          <w:sz w:val="24"/>
          <w:szCs w:val="24"/>
          <w:lang w:val="nl-NL"/>
        </w:rPr>
        <w:t xml:space="preserve"> mặc dù giá xăng dầu </w:t>
      </w:r>
      <w:r>
        <w:rPr>
          <w:rFonts w:ascii="Times New Roman" w:hAnsi="Times New Roman"/>
          <w:sz w:val="24"/>
          <w:szCs w:val="24"/>
          <w:lang w:val="nl-NL"/>
        </w:rPr>
        <w:t xml:space="preserve">cũng như giá cả hàng hóa thế giới đều </w:t>
      </w:r>
      <w:r w:rsidRPr="00F14111">
        <w:rPr>
          <w:rFonts w:ascii="Times New Roman" w:hAnsi="Times New Roman"/>
          <w:sz w:val="24"/>
          <w:szCs w:val="24"/>
          <w:lang w:val="nl-NL"/>
        </w:rPr>
        <w:t xml:space="preserve">tăng </w:t>
      </w:r>
      <w:r>
        <w:rPr>
          <w:rFonts w:ascii="Times New Roman" w:hAnsi="Times New Roman"/>
          <w:sz w:val="24"/>
          <w:szCs w:val="24"/>
          <w:lang w:val="nl-NL"/>
        </w:rPr>
        <w:t xml:space="preserve">mạnh </w:t>
      </w:r>
      <w:r w:rsidRPr="00F14111">
        <w:rPr>
          <w:rFonts w:ascii="Times New Roman" w:hAnsi="Times New Roman"/>
          <w:sz w:val="24"/>
          <w:szCs w:val="24"/>
          <w:lang w:val="nl-NL"/>
        </w:rPr>
        <w:t xml:space="preserve">trở lại theo giá thế giới. </w:t>
      </w:r>
      <w:r>
        <w:rPr>
          <w:rFonts w:ascii="Times New Roman" w:hAnsi="Times New Roman"/>
          <w:sz w:val="24"/>
          <w:szCs w:val="24"/>
          <w:lang w:val="nl-NL"/>
        </w:rPr>
        <w:t xml:space="preserve">CPI </w:t>
      </w:r>
      <w:r w:rsidRPr="00F14111">
        <w:rPr>
          <w:rFonts w:ascii="Times New Roman" w:hAnsi="Times New Roman"/>
          <w:sz w:val="24"/>
          <w:szCs w:val="24"/>
          <w:lang w:val="nl-NL"/>
        </w:rPr>
        <w:t xml:space="preserve">tháng </w:t>
      </w:r>
      <w:r>
        <w:rPr>
          <w:rFonts w:ascii="Times New Roman" w:hAnsi="Times New Roman"/>
          <w:sz w:val="24"/>
          <w:szCs w:val="24"/>
          <w:lang w:val="nl-NL"/>
        </w:rPr>
        <w:t>03</w:t>
      </w:r>
      <w:r w:rsidRPr="00F14111">
        <w:rPr>
          <w:rFonts w:ascii="Times New Roman" w:hAnsi="Times New Roman"/>
          <w:sz w:val="24"/>
          <w:szCs w:val="24"/>
          <w:lang w:val="nl-NL"/>
        </w:rPr>
        <w:t>/202</w:t>
      </w:r>
      <w:r>
        <w:rPr>
          <w:rFonts w:ascii="Times New Roman" w:hAnsi="Times New Roman"/>
          <w:sz w:val="24"/>
          <w:szCs w:val="24"/>
          <w:lang w:val="nl-NL"/>
        </w:rPr>
        <w:t>1</w:t>
      </w:r>
      <w:r w:rsidRPr="00F14111">
        <w:rPr>
          <w:rFonts w:ascii="Times New Roman" w:hAnsi="Times New Roman"/>
          <w:sz w:val="24"/>
          <w:szCs w:val="24"/>
          <w:lang w:val="nl-NL"/>
        </w:rPr>
        <w:t xml:space="preserve"> </w:t>
      </w:r>
      <w:r>
        <w:rPr>
          <w:rFonts w:ascii="Times New Roman" w:hAnsi="Times New Roman"/>
          <w:sz w:val="24"/>
          <w:szCs w:val="24"/>
          <w:lang w:val="nl-NL"/>
        </w:rPr>
        <w:t>tăng 1.31% so với tháng 12 năm 2020 và tăng 1.16</w:t>
      </w:r>
      <w:r w:rsidRPr="00F14111">
        <w:rPr>
          <w:rFonts w:ascii="Times New Roman" w:hAnsi="Times New Roman"/>
          <w:sz w:val="24"/>
          <w:szCs w:val="24"/>
          <w:lang w:val="nl-NL"/>
        </w:rPr>
        <w:t xml:space="preserve">% so với cùng kỳ năm </w:t>
      </w:r>
      <w:r>
        <w:rPr>
          <w:rFonts w:ascii="Times New Roman" w:hAnsi="Times New Roman"/>
          <w:sz w:val="24"/>
          <w:szCs w:val="24"/>
          <w:lang w:val="nl-NL"/>
        </w:rPr>
        <w:t>trước</w:t>
      </w:r>
      <w:r w:rsidR="00E0347F">
        <w:rPr>
          <w:rFonts w:ascii="Times New Roman" w:hAnsi="Times New Roman"/>
          <w:sz w:val="24"/>
          <w:szCs w:val="24"/>
          <w:lang w:val="nl-NL"/>
        </w:rPr>
        <w:t>.</w:t>
      </w:r>
      <w:r>
        <w:rPr>
          <w:rFonts w:ascii="Times New Roman" w:hAnsi="Times New Roman"/>
          <w:sz w:val="24"/>
          <w:szCs w:val="24"/>
          <w:lang w:val="nl-NL"/>
        </w:rPr>
        <w:t xml:space="preserve"> thấp nhất kể từ năm 2016</w:t>
      </w:r>
      <w:r w:rsidRPr="00F14111">
        <w:rPr>
          <w:rFonts w:ascii="Times New Roman" w:hAnsi="Times New Roman"/>
          <w:sz w:val="24"/>
          <w:szCs w:val="24"/>
          <w:lang w:val="nl-NL"/>
        </w:rPr>
        <w:t>.</w:t>
      </w:r>
      <w:r>
        <w:rPr>
          <w:rFonts w:ascii="Times New Roman" w:hAnsi="Times New Roman"/>
          <w:sz w:val="24"/>
          <w:szCs w:val="24"/>
          <w:lang w:val="nl-NL"/>
        </w:rPr>
        <w:t xml:space="preserve"> </w:t>
      </w:r>
    </w:p>
    <w:p w14:paraId="036AB636" w14:textId="58FA237E" w:rsidR="00F075DE" w:rsidRPr="00F14111" w:rsidRDefault="00F075DE" w:rsidP="00F075DE">
      <w:pPr>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Tiếp đà tăng trưởng tích cực</w:t>
      </w:r>
      <w:r w:rsidRPr="00F14111">
        <w:rPr>
          <w:rFonts w:ascii="Times New Roman" w:hAnsi="Times New Roman"/>
          <w:sz w:val="24"/>
          <w:szCs w:val="24"/>
          <w:lang w:val="nl-NL"/>
        </w:rPr>
        <w:t xml:space="preserve"> của thị trường chứng khoán Việt Nam</w:t>
      </w:r>
      <w:r>
        <w:rPr>
          <w:rFonts w:ascii="Times New Roman" w:hAnsi="Times New Roman"/>
          <w:sz w:val="24"/>
          <w:szCs w:val="24"/>
          <w:lang w:val="nl-NL"/>
        </w:rPr>
        <w:t xml:space="preserve"> năm 2020</w:t>
      </w:r>
      <w:r w:rsidR="00E0347F">
        <w:rPr>
          <w:rFonts w:ascii="Times New Roman" w:hAnsi="Times New Roman"/>
          <w:sz w:val="24"/>
          <w:szCs w:val="24"/>
          <w:lang w:val="nl-NL"/>
        </w:rPr>
        <w:t>.</w:t>
      </w:r>
      <w:r>
        <w:rPr>
          <w:rFonts w:ascii="Times New Roman" w:hAnsi="Times New Roman"/>
          <w:sz w:val="24"/>
          <w:szCs w:val="24"/>
          <w:lang w:val="nl-NL"/>
        </w:rPr>
        <w:t xml:space="preserve"> thị trường chứng khoán tiếp tục tăng mạnh và tiến gần đến mức điểm kỷ lục 1200 của VN Index trong những ngày cuối tháng 3. </w:t>
      </w:r>
      <w:r w:rsidRPr="00F14111">
        <w:rPr>
          <w:rFonts w:ascii="Times New Roman" w:hAnsi="Times New Roman"/>
          <w:sz w:val="24"/>
          <w:szCs w:val="24"/>
          <w:lang w:val="nl-NL"/>
        </w:rPr>
        <w:t xml:space="preserve"> </w:t>
      </w:r>
      <w:r>
        <w:rPr>
          <w:rFonts w:ascii="Times New Roman" w:hAnsi="Times New Roman"/>
          <w:sz w:val="24"/>
          <w:szCs w:val="24"/>
          <w:lang w:val="nl-NL"/>
        </w:rPr>
        <w:t>Mặc dù</w:t>
      </w:r>
      <w:r w:rsidRPr="00F14111">
        <w:rPr>
          <w:rFonts w:ascii="Times New Roman" w:hAnsi="Times New Roman"/>
          <w:sz w:val="24"/>
          <w:szCs w:val="24"/>
          <w:lang w:val="nl-NL"/>
        </w:rPr>
        <w:t xml:space="preserve"> </w:t>
      </w:r>
      <w:r>
        <w:rPr>
          <w:rFonts w:ascii="Times New Roman" w:hAnsi="Times New Roman"/>
          <w:sz w:val="24"/>
          <w:szCs w:val="24"/>
          <w:lang w:val="nl-NL"/>
        </w:rPr>
        <w:t>các nhà đầu tư nước ngoài tiếp tục bán ròng các tháng đầu năm tuy nhiên dòng tiền khối nội là động lực chính cho thị trường tăng trưởng</w:t>
      </w:r>
      <w:r w:rsidRPr="00F14111">
        <w:rPr>
          <w:rFonts w:ascii="Times New Roman" w:hAnsi="Times New Roman"/>
          <w:sz w:val="24"/>
          <w:szCs w:val="24"/>
          <w:lang w:val="nl-NL"/>
        </w:rPr>
        <w:t xml:space="preserve">. Chỉ số VN-index </w:t>
      </w:r>
      <w:r>
        <w:rPr>
          <w:rFonts w:ascii="Times New Roman" w:hAnsi="Times New Roman"/>
          <w:sz w:val="24"/>
          <w:szCs w:val="24"/>
          <w:lang w:val="nl-NL"/>
        </w:rPr>
        <w:t>đóng cửa ngày 31/03/2021</w:t>
      </w:r>
      <w:r w:rsidRPr="00F14111">
        <w:rPr>
          <w:rFonts w:ascii="Times New Roman" w:hAnsi="Times New Roman"/>
          <w:sz w:val="24"/>
          <w:szCs w:val="24"/>
          <w:lang w:val="nl-NL"/>
        </w:rPr>
        <w:t xml:space="preserve"> đạt 1.1</w:t>
      </w:r>
      <w:r>
        <w:rPr>
          <w:rFonts w:ascii="Times New Roman" w:hAnsi="Times New Roman"/>
          <w:sz w:val="24"/>
          <w:szCs w:val="24"/>
          <w:lang w:val="nl-NL"/>
        </w:rPr>
        <w:t>91</w:t>
      </w:r>
      <w:r w:rsidR="00E0347F">
        <w:rPr>
          <w:rFonts w:ascii="Times New Roman" w:hAnsi="Times New Roman"/>
          <w:sz w:val="24"/>
          <w:szCs w:val="24"/>
          <w:lang w:val="nl-NL"/>
        </w:rPr>
        <w:t>.</w:t>
      </w:r>
      <w:r>
        <w:rPr>
          <w:rFonts w:ascii="Times New Roman" w:hAnsi="Times New Roman"/>
          <w:sz w:val="24"/>
          <w:szCs w:val="24"/>
          <w:lang w:val="nl-NL"/>
        </w:rPr>
        <w:t>4</w:t>
      </w:r>
      <w:r w:rsidRPr="00F14111">
        <w:rPr>
          <w:rFonts w:ascii="Times New Roman" w:hAnsi="Times New Roman"/>
          <w:sz w:val="24"/>
          <w:szCs w:val="24"/>
          <w:lang w:val="nl-NL"/>
        </w:rPr>
        <w:t xml:space="preserve"> điểm</w:t>
      </w:r>
      <w:r>
        <w:rPr>
          <w:rFonts w:ascii="Times New Roman" w:hAnsi="Times New Roman"/>
          <w:sz w:val="24"/>
          <w:szCs w:val="24"/>
          <w:lang w:val="nl-NL"/>
        </w:rPr>
        <w:t xml:space="preserve"> tăng 7</w:t>
      </w:r>
      <w:r w:rsidR="00E0347F">
        <w:rPr>
          <w:rFonts w:ascii="Times New Roman" w:hAnsi="Times New Roman"/>
          <w:sz w:val="24"/>
          <w:szCs w:val="24"/>
          <w:lang w:val="nl-NL"/>
        </w:rPr>
        <w:t>.</w:t>
      </w:r>
      <w:r>
        <w:rPr>
          <w:rFonts w:ascii="Times New Roman" w:hAnsi="Times New Roman"/>
          <w:sz w:val="24"/>
          <w:szCs w:val="24"/>
          <w:lang w:val="nl-NL"/>
        </w:rPr>
        <w:t>9% so với cuối năm 2020</w:t>
      </w:r>
      <w:r w:rsidR="00E0347F">
        <w:rPr>
          <w:rFonts w:ascii="Times New Roman" w:hAnsi="Times New Roman"/>
          <w:sz w:val="24"/>
          <w:szCs w:val="24"/>
          <w:lang w:val="nl-NL"/>
        </w:rPr>
        <w:t>.</w:t>
      </w:r>
      <w:r>
        <w:rPr>
          <w:rFonts w:ascii="Times New Roman" w:hAnsi="Times New Roman"/>
          <w:sz w:val="24"/>
          <w:szCs w:val="24"/>
          <w:lang w:val="nl-NL"/>
        </w:rPr>
        <w:t xml:space="preserve"> m</w:t>
      </w:r>
      <w:r w:rsidRPr="00223363">
        <w:rPr>
          <w:rFonts w:ascii="Times New Roman" w:hAnsi="Times New Roman"/>
          <w:sz w:val="24"/>
          <w:szCs w:val="24"/>
          <w:lang w:val="nl-NL"/>
        </w:rPr>
        <w:t>ức vốn hóa thị trường đạt gần 6 triệu tỷ đồng</w:t>
      </w:r>
      <w:r w:rsidR="00E0347F">
        <w:rPr>
          <w:rFonts w:ascii="Times New Roman" w:hAnsi="Times New Roman"/>
          <w:sz w:val="24"/>
          <w:szCs w:val="24"/>
          <w:lang w:val="nl-NL"/>
        </w:rPr>
        <w:t>.</w:t>
      </w:r>
      <w:r w:rsidRPr="00223363">
        <w:rPr>
          <w:rFonts w:ascii="Times New Roman" w:hAnsi="Times New Roman"/>
          <w:sz w:val="24"/>
          <w:szCs w:val="24"/>
          <w:lang w:val="nl-NL"/>
        </w:rPr>
        <w:t xml:space="preserve"> tăng</w:t>
      </w:r>
      <w:r>
        <w:rPr>
          <w:rFonts w:ascii="Times New Roman" w:hAnsi="Times New Roman"/>
          <w:sz w:val="24"/>
          <w:szCs w:val="24"/>
          <w:lang w:val="nl-NL"/>
        </w:rPr>
        <w:t xml:space="preserve"> gần</w:t>
      </w:r>
      <w:r w:rsidRPr="00223363">
        <w:rPr>
          <w:rFonts w:ascii="Times New Roman" w:hAnsi="Times New Roman"/>
          <w:sz w:val="24"/>
          <w:szCs w:val="24"/>
          <w:lang w:val="nl-NL"/>
        </w:rPr>
        <w:t xml:space="preserve"> 1</w:t>
      </w:r>
      <w:r>
        <w:rPr>
          <w:rFonts w:ascii="Times New Roman" w:hAnsi="Times New Roman"/>
          <w:sz w:val="24"/>
          <w:szCs w:val="24"/>
          <w:lang w:val="nl-NL"/>
        </w:rPr>
        <w:t>2</w:t>
      </w:r>
      <w:r w:rsidRPr="00223363">
        <w:rPr>
          <w:rFonts w:ascii="Times New Roman" w:hAnsi="Times New Roman"/>
          <w:sz w:val="24"/>
          <w:szCs w:val="24"/>
          <w:lang w:val="nl-NL"/>
        </w:rPr>
        <w:t xml:space="preserve">% so với cuối năm 2020; giá trị giao dịch bình quân từ đầu năm 2021 đến nay đạt </w:t>
      </w:r>
      <w:r>
        <w:rPr>
          <w:rFonts w:ascii="Times New Roman" w:hAnsi="Times New Roman"/>
          <w:sz w:val="24"/>
          <w:szCs w:val="24"/>
          <w:lang w:val="nl-NL"/>
        </w:rPr>
        <w:t xml:space="preserve">xấp xỉ </w:t>
      </w:r>
      <w:r w:rsidRPr="00223363">
        <w:rPr>
          <w:rFonts w:ascii="Times New Roman" w:hAnsi="Times New Roman"/>
          <w:sz w:val="24"/>
          <w:szCs w:val="24"/>
          <w:lang w:val="nl-NL"/>
        </w:rPr>
        <w:t>1</w:t>
      </w:r>
      <w:r>
        <w:rPr>
          <w:rFonts w:ascii="Times New Roman" w:hAnsi="Times New Roman"/>
          <w:sz w:val="24"/>
          <w:szCs w:val="24"/>
          <w:lang w:val="nl-NL"/>
        </w:rPr>
        <w:t>9.0</w:t>
      </w:r>
      <w:r w:rsidRPr="00223363">
        <w:rPr>
          <w:rFonts w:ascii="Times New Roman" w:hAnsi="Times New Roman"/>
          <w:sz w:val="24"/>
          <w:szCs w:val="24"/>
          <w:lang w:val="nl-NL"/>
        </w:rPr>
        <w:t>00 tỷ đồng/phiên</w:t>
      </w:r>
      <w:r w:rsidR="00E0347F">
        <w:rPr>
          <w:rFonts w:ascii="Times New Roman" w:hAnsi="Times New Roman"/>
          <w:sz w:val="24"/>
          <w:szCs w:val="24"/>
          <w:lang w:val="nl-NL"/>
        </w:rPr>
        <w:t>.</w:t>
      </w:r>
      <w:r w:rsidRPr="00223363">
        <w:rPr>
          <w:rFonts w:ascii="Times New Roman" w:hAnsi="Times New Roman"/>
          <w:sz w:val="24"/>
          <w:szCs w:val="24"/>
          <w:lang w:val="nl-NL"/>
        </w:rPr>
        <w:t xml:space="preserve"> tăng 155% so với bình quân năm trước. </w:t>
      </w:r>
      <w:proofErr w:type="spellStart"/>
      <w:r w:rsidRPr="00223363">
        <w:rPr>
          <w:rFonts w:ascii="Times New Roman" w:hAnsi="Times New Roman"/>
          <w:spacing w:val="-2"/>
          <w:sz w:val="24"/>
          <w:szCs w:val="24"/>
        </w:rPr>
        <w:t>Tính</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đến</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cuối</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tháng</w:t>
      </w:r>
      <w:proofErr w:type="spellEnd"/>
      <w:r w:rsidRPr="00223363">
        <w:rPr>
          <w:rFonts w:ascii="Times New Roman" w:hAnsi="Times New Roman"/>
          <w:spacing w:val="-2"/>
          <w:sz w:val="24"/>
          <w:szCs w:val="24"/>
        </w:rPr>
        <w:t xml:space="preserve"> </w:t>
      </w:r>
      <w:r w:rsidRPr="00223363">
        <w:rPr>
          <w:rFonts w:ascii="Times New Roman" w:hAnsi="Times New Roman"/>
          <w:spacing w:val="-2"/>
          <w:sz w:val="24"/>
          <w:szCs w:val="24"/>
          <w:lang w:val="vi-VN"/>
        </w:rPr>
        <w:t>0</w:t>
      </w:r>
      <w:r w:rsidRPr="00223363">
        <w:rPr>
          <w:rFonts w:ascii="Times New Roman" w:hAnsi="Times New Roman"/>
          <w:spacing w:val="-2"/>
          <w:sz w:val="24"/>
          <w:szCs w:val="24"/>
        </w:rPr>
        <w:t>2/2021</w:t>
      </w:r>
      <w:r w:rsidR="00E0347F">
        <w:rPr>
          <w:rFonts w:ascii="Times New Roman" w:hAnsi="Times New Roman"/>
          <w:spacing w:val="-2"/>
          <w:sz w:val="24"/>
          <w:szCs w:val="24"/>
        </w:rPr>
        <w:t>.</w:t>
      </w:r>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thị</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trường</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có</w:t>
      </w:r>
      <w:proofErr w:type="spellEnd"/>
      <w:r w:rsidRPr="00223363">
        <w:rPr>
          <w:rFonts w:ascii="Times New Roman" w:hAnsi="Times New Roman"/>
          <w:spacing w:val="-2"/>
          <w:sz w:val="24"/>
          <w:szCs w:val="24"/>
        </w:rPr>
        <w:t xml:space="preserve"> 762</w:t>
      </w:r>
      <w:r>
        <w:rPr>
          <w:rFonts w:ascii="Times New Roman" w:hAnsi="Times New Roman"/>
          <w:spacing w:val="-2"/>
          <w:sz w:val="24"/>
          <w:szCs w:val="24"/>
        </w:rPr>
        <w:t xml:space="preserve"> </w:t>
      </w:r>
      <w:proofErr w:type="spellStart"/>
      <w:r>
        <w:rPr>
          <w:rFonts w:ascii="Times New Roman" w:hAnsi="Times New Roman"/>
          <w:spacing w:val="-2"/>
          <w:sz w:val="24"/>
          <w:szCs w:val="24"/>
        </w:rPr>
        <w:t>mã</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cổ</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phiếu</w:t>
      </w:r>
      <w:proofErr w:type="spellEnd"/>
      <w:r w:rsidR="00E0347F">
        <w:rPr>
          <w:rFonts w:ascii="Times New Roman" w:hAnsi="Times New Roman"/>
          <w:spacing w:val="-2"/>
          <w:sz w:val="24"/>
          <w:szCs w:val="24"/>
        </w:rPr>
        <w:t>.</w:t>
      </w:r>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chứng</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chỉ</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quỹ</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niêm</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yết</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và</w:t>
      </w:r>
      <w:proofErr w:type="spellEnd"/>
      <w:r w:rsidRPr="00223363">
        <w:rPr>
          <w:rFonts w:ascii="Times New Roman" w:hAnsi="Times New Roman"/>
          <w:spacing w:val="-2"/>
          <w:sz w:val="24"/>
          <w:szCs w:val="24"/>
        </w:rPr>
        <w:t xml:space="preserve"> 909 </w:t>
      </w:r>
      <w:proofErr w:type="spellStart"/>
      <w:r w:rsidRPr="00223363">
        <w:rPr>
          <w:rFonts w:ascii="Times New Roman" w:hAnsi="Times New Roman"/>
          <w:spacing w:val="-2"/>
          <w:sz w:val="24"/>
          <w:szCs w:val="24"/>
        </w:rPr>
        <w:t>cổ</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phiếu</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đăng</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ký</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giao</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dịch</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trên</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sàn</w:t>
      </w:r>
      <w:proofErr w:type="spellEnd"/>
      <w:r w:rsidRPr="00223363">
        <w:rPr>
          <w:rFonts w:ascii="Times New Roman" w:hAnsi="Times New Roman"/>
          <w:spacing w:val="-2"/>
          <w:sz w:val="24"/>
          <w:szCs w:val="24"/>
        </w:rPr>
        <w:t xml:space="preserve"> </w:t>
      </w:r>
      <w:proofErr w:type="spellStart"/>
      <w:r w:rsidRPr="00223363">
        <w:rPr>
          <w:rFonts w:ascii="Times New Roman" w:hAnsi="Times New Roman"/>
          <w:spacing w:val="-2"/>
          <w:sz w:val="24"/>
          <w:szCs w:val="24"/>
        </w:rPr>
        <w:t>UPCoM</w:t>
      </w:r>
      <w:proofErr w:type="spellEnd"/>
      <w:r>
        <w:rPr>
          <w:rFonts w:ascii="Times New Roman" w:hAnsi="Times New Roman"/>
          <w:spacing w:val="-2"/>
          <w:sz w:val="24"/>
          <w:szCs w:val="24"/>
        </w:rPr>
        <w:t>.</w:t>
      </w:r>
    </w:p>
    <w:p w14:paraId="2FDCEA4B" w14:textId="0F307A1C" w:rsidR="00F075DE" w:rsidRPr="00F14111" w:rsidRDefault="00F075DE" w:rsidP="00F075DE">
      <w:pPr>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Trước đó</w:t>
      </w:r>
      <w:r w:rsidR="00E0347F">
        <w:rPr>
          <w:rFonts w:ascii="Times New Roman" w:hAnsi="Times New Roman"/>
          <w:sz w:val="24"/>
          <w:szCs w:val="24"/>
          <w:lang w:val="nl-NL"/>
        </w:rPr>
        <w:t>.</w:t>
      </w:r>
      <w:r w:rsidRPr="00F14111">
        <w:rPr>
          <w:rFonts w:ascii="Times New Roman" w:hAnsi="Times New Roman"/>
          <w:sz w:val="24"/>
          <w:szCs w:val="24"/>
          <w:lang w:val="nl-NL"/>
        </w:rPr>
        <w:t xml:space="preserve"> Chính Phủ đã phê duyệt Đề án “Cơ cấu lại thị trường chứng khoán và thị trường bảo hiểm đến năm 2020 và định hướng đến năm 2025” theo Quyết định số 242/QĐ-TTg ngày 28/02/2019. Theo đó</w:t>
      </w:r>
      <w:r w:rsidR="00E0347F">
        <w:rPr>
          <w:rFonts w:ascii="Times New Roman" w:hAnsi="Times New Roman"/>
          <w:sz w:val="24"/>
          <w:szCs w:val="24"/>
          <w:lang w:val="nl-NL"/>
        </w:rPr>
        <w:t>.</w:t>
      </w:r>
      <w:r w:rsidRPr="00F14111">
        <w:rPr>
          <w:rFonts w:ascii="Times New Roman" w:hAnsi="Times New Roman"/>
          <w:sz w:val="24"/>
          <w:szCs w:val="24"/>
          <w:lang w:val="nl-NL"/>
        </w:rPr>
        <w:t xml:space="preserve"> Chính phủ đặt mục tiêu Quy mô thị trường cổ phiếu đạt mức 100% GDP vào năm 2020 và 120% vào năm 2025</w:t>
      </w:r>
      <w:r w:rsidR="00E0347F">
        <w:rPr>
          <w:rFonts w:ascii="Times New Roman" w:hAnsi="Times New Roman"/>
          <w:sz w:val="24"/>
          <w:szCs w:val="24"/>
          <w:lang w:val="nl-NL"/>
        </w:rPr>
        <w:t>.</w:t>
      </w:r>
      <w:r w:rsidRPr="00F14111">
        <w:rPr>
          <w:rFonts w:ascii="Times New Roman" w:hAnsi="Times New Roman"/>
          <w:sz w:val="24"/>
          <w:szCs w:val="24"/>
          <w:lang w:val="nl-NL"/>
        </w:rPr>
        <w:t xml:space="preserve"> quy mô thị trường trái phiếu đạt mức 47% GDP vào năm 2020 và 55% GDP vào năm 2025. Đa dạng hóa các sản phẩm trên thị trường chứng khoán</w:t>
      </w:r>
      <w:r w:rsidR="00E0347F">
        <w:rPr>
          <w:rFonts w:ascii="Times New Roman" w:hAnsi="Times New Roman"/>
          <w:sz w:val="24"/>
          <w:szCs w:val="24"/>
          <w:lang w:val="nl-NL"/>
        </w:rPr>
        <w:t>.</w:t>
      </w:r>
      <w:r w:rsidRPr="00F14111">
        <w:rPr>
          <w:rFonts w:ascii="Times New Roman" w:hAnsi="Times New Roman"/>
          <w:sz w:val="24"/>
          <w:szCs w:val="24"/>
          <w:lang w:val="nl-NL"/>
        </w:rPr>
        <w:t xml:space="preserve"> đổi mới toàn diện và đồng bộ công nghệ giao dịch và thanh toán bù trừ trên thị trường chứng khoán. Trước năm 2025</w:t>
      </w:r>
      <w:r w:rsidR="00E0347F">
        <w:rPr>
          <w:rFonts w:ascii="Times New Roman" w:hAnsi="Times New Roman"/>
          <w:sz w:val="24"/>
          <w:szCs w:val="24"/>
          <w:lang w:val="nl-NL"/>
        </w:rPr>
        <w:t>.</w:t>
      </w:r>
      <w:r w:rsidRPr="00F14111">
        <w:rPr>
          <w:rFonts w:ascii="Times New Roman" w:hAnsi="Times New Roman"/>
          <w:sz w:val="24"/>
          <w:szCs w:val="24"/>
          <w:lang w:val="nl-NL"/>
        </w:rPr>
        <w:t xml:space="preserve"> nâng hạng thị trường chứng khoán Việt Nam trên danh sách các thị trường mới nổi</w:t>
      </w:r>
      <w:r w:rsidR="00E0347F">
        <w:rPr>
          <w:rFonts w:ascii="Times New Roman" w:hAnsi="Times New Roman"/>
          <w:sz w:val="24"/>
          <w:szCs w:val="24"/>
          <w:lang w:val="nl-NL"/>
        </w:rPr>
        <w:t>.</w:t>
      </w:r>
      <w:r w:rsidRPr="00F14111">
        <w:rPr>
          <w:rFonts w:ascii="Times New Roman" w:hAnsi="Times New Roman"/>
          <w:sz w:val="24"/>
          <w:szCs w:val="24"/>
          <w:lang w:val="nl-NL"/>
        </w:rPr>
        <w:t xml:space="preserve"> </w:t>
      </w:r>
      <w:bookmarkStart w:id="5" w:name="_Hlk46306129"/>
      <w:r w:rsidRPr="00F14111">
        <w:rPr>
          <w:rFonts w:ascii="Times New Roman" w:hAnsi="Times New Roman"/>
          <w:sz w:val="24"/>
          <w:szCs w:val="24"/>
          <w:lang w:val="nl-NL"/>
        </w:rPr>
        <w:t>và gần nhất trong dịp kỷ niệm 20 năm thị trường chứng khoán Việt nam</w:t>
      </w:r>
      <w:r w:rsidR="00E0347F">
        <w:rPr>
          <w:rFonts w:ascii="Times New Roman" w:hAnsi="Times New Roman"/>
          <w:sz w:val="24"/>
          <w:szCs w:val="24"/>
          <w:lang w:val="nl-NL"/>
        </w:rPr>
        <w:t>.</w:t>
      </w:r>
      <w:r w:rsidRPr="00F14111">
        <w:rPr>
          <w:rFonts w:ascii="Times New Roman" w:hAnsi="Times New Roman"/>
          <w:sz w:val="24"/>
          <w:szCs w:val="24"/>
          <w:lang w:val="nl-NL"/>
        </w:rPr>
        <w:t xml:space="preserve"> Chủ tịch UBCKNN đã phát đi tín hiệu lạc quan về khả năng thị trường chứng khoán Việt nam được nâng hạn trước năm 2023 là tương đối chắc chắc</w:t>
      </w:r>
      <w:bookmarkEnd w:id="5"/>
      <w:r w:rsidRPr="00F14111">
        <w:rPr>
          <w:rFonts w:ascii="Times New Roman" w:hAnsi="Times New Roman"/>
          <w:sz w:val="24"/>
          <w:szCs w:val="24"/>
          <w:lang w:val="nl-NL"/>
        </w:rPr>
        <w:t>. Bên cạnh đó</w:t>
      </w:r>
      <w:r w:rsidR="00E0347F">
        <w:rPr>
          <w:rFonts w:ascii="Times New Roman" w:hAnsi="Times New Roman"/>
          <w:sz w:val="24"/>
          <w:szCs w:val="24"/>
          <w:lang w:val="nl-NL"/>
        </w:rPr>
        <w:t>.</w:t>
      </w:r>
      <w:r w:rsidRPr="00F14111">
        <w:rPr>
          <w:rFonts w:ascii="Times New Roman" w:hAnsi="Times New Roman"/>
          <w:sz w:val="24"/>
          <w:szCs w:val="24"/>
          <w:lang w:val="nl-NL"/>
        </w:rPr>
        <w:t xml:space="preserve"> thị trường vẫn tiếp tục chờ đón những sự kiện </w:t>
      </w:r>
      <w:r w:rsidRPr="00F14111">
        <w:rPr>
          <w:rFonts w:ascii="Times New Roman" w:hAnsi="Times New Roman"/>
          <w:sz w:val="24"/>
          <w:szCs w:val="24"/>
          <w:lang w:val="nl-NL"/>
        </w:rPr>
        <w:lastRenderedPageBreak/>
        <w:t>mang tính xúc tác giúp thị trường tăng trưởng bền vững hơn</w:t>
      </w:r>
      <w:r w:rsidR="00E0347F">
        <w:rPr>
          <w:rFonts w:ascii="Times New Roman" w:hAnsi="Times New Roman"/>
          <w:sz w:val="24"/>
          <w:szCs w:val="24"/>
          <w:lang w:val="nl-NL"/>
        </w:rPr>
        <w:t>.</w:t>
      </w:r>
      <w:r w:rsidRPr="00F14111">
        <w:rPr>
          <w:rFonts w:ascii="Times New Roman" w:hAnsi="Times New Roman"/>
          <w:sz w:val="24"/>
          <w:szCs w:val="24"/>
          <w:lang w:val="nl-NL"/>
        </w:rPr>
        <w:t xml:space="preserve"> như việc thành lập các quỹ chỉ số tài chính (VNFIN LEAD đã giao dịch từ giữa tháng 3 năm nay</w:t>
      </w:r>
      <w:r w:rsidR="00E0347F">
        <w:rPr>
          <w:rFonts w:ascii="Times New Roman" w:hAnsi="Times New Roman"/>
          <w:sz w:val="24"/>
          <w:szCs w:val="24"/>
          <w:lang w:val="nl-NL"/>
        </w:rPr>
        <w:t>.</w:t>
      </w:r>
      <w:r w:rsidRPr="00F14111">
        <w:rPr>
          <w:rFonts w:ascii="Times New Roman" w:hAnsi="Times New Roman"/>
          <w:sz w:val="24"/>
          <w:szCs w:val="24"/>
          <w:lang w:val="nl-NL"/>
        </w:rPr>
        <w:t xml:space="preserve"> VNFIN SELECT)</w:t>
      </w:r>
      <w:r w:rsidR="00E0347F">
        <w:rPr>
          <w:rFonts w:ascii="Times New Roman" w:hAnsi="Times New Roman"/>
          <w:sz w:val="24"/>
          <w:szCs w:val="24"/>
          <w:lang w:val="nl-NL"/>
        </w:rPr>
        <w:t>.</w:t>
      </w:r>
      <w:r w:rsidRPr="00F14111">
        <w:rPr>
          <w:rFonts w:ascii="Times New Roman" w:hAnsi="Times New Roman"/>
          <w:sz w:val="24"/>
          <w:szCs w:val="24"/>
          <w:lang w:val="nl-NL"/>
        </w:rPr>
        <w:t xml:space="preserve"> quỹ chỉ số các cổ phiếu hết room (VN Diamond giao dịch từ giữa tháng 5 năm 2020)</w:t>
      </w:r>
      <w:r w:rsidR="00E0347F">
        <w:rPr>
          <w:rFonts w:ascii="Times New Roman" w:hAnsi="Times New Roman"/>
          <w:sz w:val="24"/>
          <w:szCs w:val="24"/>
          <w:lang w:val="nl-NL"/>
        </w:rPr>
        <w:t>.</w:t>
      </w:r>
      <w:r w:rsidRPr="00F14111">
        <w:rPr>
          <w:rFonts w:ascii="Times New Roman" w:hAnsi="Times New Roman"/>
          <w:sz w:val="24"/>
          <w:szCs w:val="24"/>
          <w:lang w:val="nl-NL"/>
        </w:rPr>
        <w:t xml:space="preserve"> quỹ hưu trí (pension fund). Một sự kiện mang tính cơ cấu phát triển lâu dài cho thị trường chứng khoán là Luật chứng khoán mới hiệu lực từ đầu năm 2021.</w:t>
      </w:r>
    </w:p>
    <w:p w14:paraId="49150D52" w14:textId="51C935C6" w:rsidR="00F075DE" w:rsidRDefault="00F075DE" w:rsidP="00F075DE">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Như vậy</w:t>
      </w:r>
      <w:r w:rsidR="00E0347F">
        <w:rPr>
          <w:rFonts w:ascii="Times New Roman" w:hAnsi="Times New Roman"/>
          <w:sz w:val="24"/>
          <w:szCs w:val="24"/>
          <w:lang w:val="nl-NL"/>
        </w:rPr>
        <w:t>.</w:t>
      </w:r>
      <w:r w:rsidRPr="00F14111">
        <w:rPr>
          <w:rFonts w:ascii="Times New Roman" w:hAnsi="Times New Roman"/>
          <w:sz w:val="24"/>
          <w:szCs w:val="24"/>
          <w:lang w:val="nl-NL"/>
        </w:rPr>
        <w:t xml:space="preserve"> </w:t>
      </w:r>
      <w:r>
        <w:rPr>
          <w:rFonts w:ascii="Times New Roman" w:hAnsi="Times New Roman"/>
          <w:sz w:val="24"/>
          <w:szCs w:val="24"/>
          <w:lang w:val="nl-NL"/>
        </w:rPr>
        <w:t>vấn đề dịch bệnh Covid-19 của năm 2020 đã tạm thời được gác lại trong năm 2021</w:t>
      </w:r>
      <w:r w:rsidRPr="00F14111">
        <w:rPr>
          <w:rFonts w:ascii="Times New Roman" w:hAnsi="Times New Roman"/>
          <w:sz w:val="24"/>
          <w:szCs w:val="24"/>
          <w:lang w:val="nl-NL"/>
        </w:rPr>
        <w:t xml:space="preserve">; bên cạnh </w:t>
      </w:r>
      <w:r>
        <w:rPr>
          <w:rFonts w:ascii="Times New Roman" w:hAnsi="Times New Roman"/>
          <w:sz w:val="24"/>
          <w:szCs w:val="24"/>
          <w:lang w:val="nl-NL"/>
        </w:rPr>
        <w:t>các yếu tố bất ổn từ thương mại quốc tế</w:t>
      </w:r>
      <w:r w:rsidR="00E0347F">
        <w:rPr>
          <w:rFonts w:ascii="Times New Roman" w:hAnsi="Times New Roman"/>
          <w:sz w:val="24"/>
          <w:szCs w:val="24"/>
          <w:lang w:val="nl-NL"/>
        </w:rPr>
        <w:t>.</w:t>
      </w:r>
      <w:r>
        <w:rPr>
          <w:rFonts w:ascii="Times New Roman" w:hAnsi="Times New Roman"/>
          <w:sz w:val="24"/>
          <w:szCs w:val="24"/>
          <w:lang w:val="nl-NL"/>
        </w:rPr>
        <w:t xml:space="preserve"> áp lực lạm phát của nền kinh tế và những vấn đề liên quan đến giao dịch của hệ thống HOSE thì </w:t>
      </w:r>
      <w:r w:rsidRPr="00F14111">
        <w:rPr>
          <w:rFonts w:ascii="Times New Roman" w:hAnsi="Times New Roman"/>
          <w:sz w:val="24"/>
          <w:szCs w:val="24"/>
          <w:lang w:val="nl-NL"/>
        </w:rPr>
        <w:t>điểm tựa ổn định vĩ mô và nội lực nền kinh tế</w:t>
      </w:r>
      <w:r w:rsidR="00E0347F">
        <w:rPr>
          <w:rFonts w:ascii="Times New Roman" w:hAnsi="Times New Roman"/>
          <w:sz w:val="24"/>
          <w:szCs w:val="24"/>
          <w:lang w:val="nl-NL"/>
        </w:rPr>
        <w:t>.</w:t>
      </w:r>
      <w:r w:rsidRPr="00F14111">
        <w:rPr>
          <w:rFonts w:ascii="Times New Roman" w:hAnsi="Times New Roman"/>
          <w:sz w:val="24"/>
          <w:szCs w:val="24"/>
          <w:lang w:val="nl-NL"/>
        </w:rPr>
        <w:t xml:space="preserve"> cùng với nền tản</w:t>
      </w:r>
      <w:r>
        <w:rPr>
          <w:rFonts w:ascii="Times New Roman" w:hAnsi="Times New Roman"/>
          <w:sz w:val="24"/>
          <w:szCs w:val="24"/>
          <w:lang w:val="nl-NL"/>
        </w:rPr>
        <w:t>g</w:t>
      </w:r>
      <w:r w:rsidRPr="00F14111">
        <w:rPr>
          <w:rFonts w:ascii="Times New Roman" w:hAnsi="Times New Roman"/>
          <w:sz w:val="24"/>
          <w:szCs w:val="24"/>
          <w:lang w:val="nl-NL"/>
        </w:rPr>
        <w:t xml:space="preserve"> phát triển lâu dài của thị trường chứng khoán sẽ duy trì động lực và triển vọng tốt cho hoạt động của Quỹ về dài hạn.</w:t>
      </w:r>
    </w:p>
    <w:p w14:paraId="3A960205" w14:textId="77777777" w:rsidR="006D6A1B" w:rsidRPr="00A90AB7" w:rsidRDefault="006D6A1B" w:rsidP="006D6A1B">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90CD3">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9D5686" w:rsidRPr="00A90AB7" w14:paraId="013F1FB5" w14:textId="77777777" w:rsidTr="00E0347F">
        <w:tc>
          <w:tcPr>
            <w:tcW w:w="1825" w:type="pct"/>
            <w:shd w:val="clear" w:color="auto" w:fill="auto"/>
            <w:vAlign w:val="center"/>
          </w:tcPr>
          <w:p w14:paraId="6740DD82" w14:textId="77777777" w:rsidR="009D5686" w:rsidRPr="00A90AB7" w:rsidRDefault="009D5686" w:rsidP="009D568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349DE8B1"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20.63%</w:t>
            </w:r>
          </w:p>
        </w:tc>
        <w:tc>
          <w:tcPr>
            <w:tcW w:w="1024" w:type="pct"/>
            <w:shd w:val="clear" w:color="auto" w:fill="auto"/>
            <w:vAlign w:val="center"/>
          </w:tcPr>
          <w:p w14:paraId="1F42AD25" w14:textId="0D4D7E8B"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2D6E4FB2"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7.35%</w:t>
            </w:r>
          </w:p>
        </w:tc>
      </w:tr>
      <w:tr w:rsidR="009D5686" w:rsidRPr="00A90AB7" w14:paraId="1A1556A7" w14:textId="77777777" w:rsidTr="00E0347F">
        <w:tc>
          <w:tcPr>
            <w:tcW w:w="1825" w:type="pct"/>
            <w:shd w:val="clear" w:color="auto" w:fill="auto"/>
            <w:vAlign w:val="center"/>
          </w:tcPr>
          <w:p w14:paraId="6DB00EA9" w14:textId="77777777" w:rsidR="009D5686" w:rsidRPr="00A90AB7" w:rsidRDefault="009D5686" w:rsidP="009D568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28F4903D"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50.57%</w:t>
            </w:r>
          </w:p>
        </w:tc>
        <w:tc>
          <w:tcPr>
            <w:tcW w:w="1024" w:type="pct"/>
            <w:shd w:val="clear" w:color="auto" w:fill="auto"/>
            <w:vAlign w:val="center"/>
          </w:tcPr>
          <w:p w14:paraId="30BCD4DB" w14:textId="4BC4DCE4"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7BF43108"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19.22%</w:t>
            </w:r>
          </w:p>
        </w:tc>
      </w:tr>
      <w:tr w:rsidR="009D5686" w:rsidRPr="00A90AB7" w14:paraId="5AE0FE5D" w14:textId="77777777" w:rsidTr="00E0347F">
        <w:tc>
          <w:tcPr>
            <w:tcW w:w="1825" w:type="pct"/>
            <w:shd w:val="clear" w:color="auto" w:fill="auto"/>
            <w:vAlign w:val="center"/>
          </w:tcPr>
          <w:p w14:paraId="3FAA0781" w14:textId="77777777" w:rsidR="009D5686" w:rsidRPr="00A90AB7" w:rsidRDefault="009D5686" w:rsidP="009D568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494E4801"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81.48%</w:t>
            </w:r>
          </w:p>
        </w:tc>
        <w:tc>
          <w:tcPr>
            <w:tcW w:w="1024" w:type="pct"/>
            <w:shd w:val="clear" w:color="auto" w:fill="auto"/>
            <w:vAlign w:val="center"/>
          </w:tcPr>
          <w:p w14:paraId="79797E82" w14:textId="5A5AFD1B"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620A0A26"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36.06%</w:t>
            </w:r>
          </w:p>
        </w:tc>
      </w:tr>
      <w:tr w:rsidR="009D5686" w:rsidRPr="00A90AB7" w14:paraId="275BF76B" w14:textId="77777777" w:rsidTr="00E0347F">
        <w:tc>
          <w:tcPr>
            <w:tcW w:w="1825" w:type="pct"/>
            <w:shd w:val="clear" w:color="auto" w:fill="auto"/>
            <w:vAlign w:val="center"/>
          </w:tcPr>
          <w:p w14:paraId="048B22BC" w14:textId="77777777" w:rsidR="009D5686" w:rsidRPr="00A90AB7" w:rsidRDefault="009D5686" w:rsidP="009D568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5B2D3204"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81.48%</w:t>
            </w:r>
          </w:p>
        </w:tc>
        <w:tc>
          <w:tcPr>
            <w:tcW w:w="1024" w:type="pct"/>
            <w:shd w:val="clear" w:color="auto" w:fill="auto"/>
            <w:vAlign w:val="center"/>
          </w:tcPr>
          <w:p w14:paraId="32106B9E" w14:textId="6FACCC52" w:rsidR="009D5686" w:rsidRPr="00A90AB7" w:rsidRDefault="009D5686"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5904DD9A" w:rsidR="009D5686" w:rsidRPr="00A90AB7" w:rsidRDefault="007959DC" w:rsidP="009D5686">
            <w:pPr>
              <w:tabs>
                <w:tab w:val="left" w:pos="540"/>
              </w:tabs>
              <w:spacing w:before="120" w:after="120" w:line="240" w:lineRule="auto"/>
              <w:ind w:left="57" w:right="57"/>
              <w:jc w:val="center"/>
              <w:rPr>
                <w:rFonts w:ascii="Times New Roman" w:eastAsia="Times New Roman" w:hAnsi="Times New Roman"/>
                <w:sz w:val="24"/>
                <w:szCs w:val="24"/>
                <w:lang w:val="nl-NL"/>
              </w:rPr>
            </w:pPr>
            <w:r w:rsidRPr="007959DC">
              <w:rPr>
                <w:rFonts w:ascii="Times New Roman" w:eastAsia="Times New Roman" w:hAnsi="Times New Roman"/>
                <w:sz w:val="24"/>
                <w:szCs w:val="24"/>
                <w:lang w:val="nl-NL"/>
              </w:rPr>
              <w:t>63.47%</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15CADBE6"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Vốn</w:t>
      </w:r>
      <w:r w:rsidR="00E0347F">
        <w:rPr>
          <w:rFonts w:ascii="Times New Roman" w:hAnsi="Times New Roman"/>
          <w:sz w:val="24"/>
          <w:szCs w:val="24"/>
          <w:lang w:val="nl-NL"/>
        </w:rPr>
        <w:t>.</w:t>
      </w:r>
      <w:r w:rsidRPr="00A90AB7">
        <w:rPr>
          <w:rFonts w:ascii="Times New Roman" w:hAnsi="Times New Roman"/>
          <w:sz w:val="24"/>
          <w:szCs w:val="24"/>
          <w:lang w:val="nl-NL"/>
        </w:rPr>
        <w:t xml:space="preserve"> Tổng tăng trưởng</w:t>
      </w:r>
      <w:r w:rsidR="00E0347F">
        <w:rPr>
          <w:rFonts w:ascii="Times New Roman" w:hAnsi="Times New Roman"/>
          <w:sz w:val="24"/>
          <w:szCs w:val="24"/>
          <w:lang w:val="nl-NL"/>
        </w:rPr>
        <w:t>.</w:t>
      </w:r>
      <w:r w:rsidRPr="00A90AB7">
        <w:rPr>
          <w:rFonts w:ascii="Times New Roman" w:hAnsi="Times New Roman"/>
          <w:sz w:val="24"/>
          <w:szCs w:val="24"/>
          <w:lang w:val="nl-NL"/>
        </w:rPr>
        <w:t xml:space="preserve">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16B65D5C"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Chỉ số tham chiếu: Dựa trên giá công bố giao dịch cuối cùng ở thời điểm gần nhất.</w:t>
      </w:r>
    </w:p>
    <w:p w14:paraId="6D285CE6" w14:textId="0D097F00" w:rsidR="00BE6F63"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p>
    <w:p w14:paraId="4059D92C" w14:textId="77777777" w:rsidR="00690CD3" w:rsidRDefault="00690CD3" w:rsidP="0083372E">
      <w:pPr>
        <w:shd w:val="clear" w:color="auto" w:fill="FFFFFF"/>
        <w:tabs>
          <w:tab w:val="left" w:pos="540"/>
        </w:tabs>
        <w:spacing w:before="120" w:after="0" w:line="240" w:lineRule="auto"/>
        <w:jc w:val="both"/>
        <w:rPr>
          <w:rFonts w:ascii="Times New Roman" w:hAnsi="Times New Roman"/>
          <w:sz w:val="24"/>
          <w:szCs w:val="24"/>
          <w:lang w:val="nl-NL"/>
        </w:rPr>
      </w:pPr>
    </w:p>
    <w:p w14:paraId="39AFB2EC" w14:textId="246FD909" w:rsidR="00FA0348"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71E5E4D1" w14:textId="1B8808C2" w:rsidR="00FA0348"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4CC4C46E" w14:textId="33B09484" w:rsidR="00FA0348"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183E5CA7" w14:textId="2B753E33" w:rsidR="00FA0348"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4BDFE199" w14:textId="77777777" w:rsidR="00FA0348" w:rsidRPr="00A90AB7"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4080D286" w14:textId="0A981C1A"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 Biểu đồ tăng trưởng hàng tháng của Quỹ trong 3 năm gần nhất.</w:t>
      </w:r>
    </w:p>
    <w:p w14:paraId="585972EC" w14:textId="1C9B34C7" w:rsidR="00753C12" w:rsidRDefault="00A354B3" w:rsidP="00315A8E">
      <w:pPr>
        <w:shd w:val="clear" w:color="auto" w:fill="FFFFFF"/>
        <w:tabs>
          <w:tab w:val="left" w:pos="540"/>
        </w:tabs>
        <w:spacing w:before="120" w:after="0" w:line="360" w:lineRule="auto"/>
        <w:jc w:val="both"/>
        <w:rPr>
          <w:rFonts w:ascii="Times New Roman" w:hAnsi="Times New Roman"/>
          <w:sz w:val="24"/>
          <w:szCs w:val="24"/>
          <w:lang w:val="nl-NL"/>
        </w:rPr>
      </w:pPr>
      <w:r>
        <w:rPr>
          <w:noProof/>
        </w:rPr>
        <w:drawing>
          <wp:inline distT="0" distB="0" distL="0" distR="0" wp14:anchorId="0944850C" wp14:editId="378F25D8">
            <wp:extent cx="5943600" cy="2663190"/>
            <wp:effectExtent l="0" t="0" r="0" b="381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Pr="00A90AB7">
        <w:rPr>
          <w:rFonts w:ascii="Times New Roman" w:hAnsi="Times New Roman"/>
          <w:sz w:val="24"/>
          <w:szCs w:val="24"/>
          <w:lang w:val="nl-NL"/>
        </w:rPr>
        <w:t>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3E4D4798"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3</w:t>
            </w:r>
            <w:r w:rsidR="00E74ED3" w:rsidRPr="009F4856">
              <w:rPr>
                <w:rFonts w:ascii="Times New Roman" w:eastAsia="Times New Roman" w:hAnsi="Times New Roman"/>
                <w:sz w:val="24"/>
                <w:szCs w:val="24"/>
                <w:lang w:val="nl-NL"/>
              </w:rPr>
              <w:t>1</w:t>
            </w:r>
            <w:r w:rsidRPr="009F4856">
              <w:rPr>
                <w:rFonts w:ascii="Times New Roman" w:eastAsia="Times New Roman" w:hAnsi="Times New Roman"/>
                <w:sz w:val="24"/>
                <w:szCs w:val="24"/>
                <w:lang w:val="nl-NL"/>
              </w:rPr>
              <w:t>/</w:t>
            </w:r>
            <w:r w:rsidR="00B17BB1">
              <w:rPr>
                <w:rFonts w:ascii="Times New Roman" w:eastAsia="Times New Roman" w:hAnsi="Times New Roman"/>
                <w:sz w:val="24"/>
                <w:szCs w:val="24"/>
                <w:lang w:val="nl-NL"/>
              </w:rPr>
              <w:t>03</w:t>
            </w:r>
            <w:r w:rsidRPr="009F4856">
              <w:rPr>
                <w:rFonts w:ascii="Times New Roman" w:eastAsia="Times New Roman" w:hAnsi="Times New Roman"/>
                <w:sz w:val="24"/>
                <w:szCs w:val="24"/>
                <w:lang w:val="nl-NL"/>
              </w:rPr>
              <w:t>/202</w:t>
            </w:r>
            <w:r w:rsidR="00B17BB1">
              <w:rPr>
                <w:rFonts w:ascii="Times New Roman" w:eastAsia="Times New Roman" w:hAnsi="Times New Roman"/>
                <w:sz w:val="24"/>
                <w:szCs w:val="24"/>
                <w:lang w:val="nl-NL"/>
              </w:rPr>
              <w:t>1</w:t>
            </w:r>
          </w:p>
        </w:tc>
        <w:tc>
          <w:tcPr>
            <w:tcW w:w="1019" w:type="pct"/>
            <w:shd w:val="clear" w:color="auto" w:fill="auto"/>
            <w:vAlign w:val="center"/>
          </w:tcPr>
          <w:p w14:paraId="3D3C1F6A" w14:textId="0257BC72"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3</w:t>
            </w:r>
            <w:r w:rsidR="00E74ED3" w:rsidRPr="009F4856">
              <w:rPr>
                <w:rFonts w:ascii="Times New Roman" w:eastAsia="Times New Roman" w:hAnsi="Times New Roman"/>
                <w:sz w:val="24"/>
                <w:szCs w:val="24"/>
                <w:lang w:val="nl-NL"/>
              </w:rPr>
              <w:t>1</w:t>
            </w:r>
            <w:r w:rsidRPr="009F4856">
              <w:rPr>
                <w:rFonts w:ascii="Times New Roman" w:eastAsia="Times New Roman" w:hAnsi="Times New Roman"/>
                <w:sz w:val="24"/>
                <w:szCs w:val="24"/>
                <w:lang w:val="nl-NL"/>
              </w:rPr>
              <w:t>/</w:t>
            </w:r>
            <w:r w:rsidR="00B17BB1">
              <w:rPr>
                <w:rFonts w:ascii="Times New Roman" w:eastAsia="Times New Roman" w:hAnsi="Times New Roman"/>
                <w:sz w:val="24"/>
                <w:szCs w:val="24"/>
                <w:lang w:val="nl-NL"/>
              </w:rPr>
              <w:t>03</w:t>
            </w:r>
            <w:r w:rsidRPr="009F4856">
              <w:rPr>
                <w:rFonts w:ascii="Times New Roman" w:eastAsia="Times New Roman" w:hAnsi="Times New Roman"/>
                <w:sz w:val="24"/>
                <w:szCs w:val="24"/>
                <w:lang w:val="nl-NL"/>
              </w:rPr>
              <w:t>/20</w:t>
            </w:r>
            <w:r w:rsidR="00B17BB1">
              <w:rPr>
                <w:rFonts w:ascii="Times New Roman" w:eastAsia="Times New Roman" w:hAnsi="Times New Roman"/>
                <w:sz w:val="24"/>
                <w:szCs w:val="24"/>
                <w:lang w:val="nl-NL"/>
              </w:rPr>
              <w:t>20</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A90AB7" w:rsidRPr="00A90AB7" w14:paraId="35CDCE6D" w14:textId="77777777" w:rsidTr="0017714B">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3=((1)-(2))/(2)</w:t>
            </w:r>
          </w:p>
        </w:tc>
      </w:tr>
      <w:tr w:rsidR="009D5686" w:rsidRPr="00A90AB7" w14:paraId="20DB74E9" w14:textId="77777777" w:rsidTr="00A354B3">
        <w:trPr>
          <w:trHeight w:val="216"/>
        </w:trPr>
        <w:tc>
          <w:tcPr>
            <w:tcW w:w="1777" w:type="pct"/>
            <w:shd w:val="clear" w:color="auto" w:fill="auto"/>
          </w:tcPr>
          <w:p w14:paraId="3374F58E" w14:textId="77777777" w:rsidR="009D5686" w:rsidRPr="00A90AB7" w:rsidRDefault="009D5686" w:rsidP="009D5686">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vAlign w:val="center"/>
          </w:tcPr>
          <w:p w14:paraId="28FD06C7" w14:textId="74B1608F" w:rsidR="009D5686" w:rsidRPr="00A90AB7" w:rsidRDefault="009D5686" w:rsidP="00690CD3">
            <w:pPr>
              <w:tabs>
                <w:tab w:val="left" w:pos="540"/>
              </w:tabs>
              <w:spacing w:before="120" w:after="0" w:line="240" w:lineRule="auto"/>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115</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039</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248</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475</w:t>
            </w:r>
          </w:p>
        </w:tc>
        <w:tc>
          <w:tcPr>
            <w:tcW w:w="1019" w:type="pct"/>
            <w:shd w:val="clear" w:color="auto" w:fill="auto"/>
            <w:vAlign w:val="center"/>
          </w:tcPr>
          <w:p w14:paraId="0DF9D0FE" w14:textId="52C54775" w:rsidR="009D5686" w:rsidRPr="00A90AB7" w:rsidRDefault="009D5686" w:rsidP="00690CD3">
            <w:pPr>
              <w:tabs>
                <w:tab w:val="left" w:pos="540"/>
              </w:tabs>
              <w:spacing w:before="120" w:after="0" w:line="240" w:lineRule="auto"/>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58</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778</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186</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978</w:t>
            </w:r>
          </w:p>
        </w:tc>
        <w:tc>
          <w:tcPr>
            <w:tcW w:w="1189" w:type="pct"/>
            <w:shd w:val="clear" w:color="auto" w:fill="auto"/>
            <w:vAlign w:val="center"/>
          </w:tcPr>
          <w:p w14:paraId="43D36BCD" w14:textId="173B0902" w:rsidR="009D5686" w:rsidRPr="00A90AB7" w:rsidRDefault="009D5686" w:rsidP="00690CD3">
            <w:pPr>
              <w:tabs>
                <w:tab w:val="left" w:pos="540"/>
              </w:tabs>
              <w:spacing w:before="120" w:after="0" w:line="240" w:lineRule="auto"/>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95</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72%</w:t>
            </w:r>
          </w:p>
        </w:tc>
      </w:tr>
      <w:tr w:rsidR="009D5686" w:rsidRPr="00A90AB7" w14:paraId="57472793" w14:textId="77777777" w:rsidTr="00E0347F">
        <w:tc>
          <w:tcPr>
            <w:tcW w:w="1777" w:type="pct"/>
            <w:shd w:val="clear" w:color="auto" w:fill="auto"/>
          </w:tcPr>
          <w:p w14:paraId="1E20D587" w14:textId="77777777" w:rsidR="009D5686" w:rsidRPr="00A90AB7" w:rsidRDefault="009D5686" w:rsidP="009D5686">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vAlign w:val="center"/>
          </w:tcPr>
          <w:p w14:paraId="6CAC6F70" w14:textId="4D5836CF" w:rsidR="009D5686" w:rsidRPr="00A90AB7" w:rsidRDefault="00690CD3" w:rsidP="00690CD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w:t>
            </w:r>
            <w:r w:rsidR="009D5686" w:rsidRPr="009D5686">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009D5686" w:rsidRPr="009D5686">
              <w:rPr>
                <w:rFonts w:ascii="Times New Roman" w:eastAsia="Times New Roman" w:hAnsi="Times New Roman"/>
                <w:sz w:val="24"/>
                <w:szCs w:val="24"/>
                <w:lang w:val="nl-NL"/>
              </w:rPr>
              <w:t>606</w:t>
            </w:r>
            <w:r>
              <w:rPr>
                <w:rFonts w:ascii="Times New Roman" w:eastAsia="Times New Roman" w:hAnsi="Times New Roman"/>
                <w:sz w:val="24"/>
                <w:szCs w:val="24"/>
                <w:lang w:val="nl-NL"/>
              </w:rPr>
              <w:t>.</w:t>
            </w:r>
            <w:r w:rsidR="009D5686" w:rsidRPr="009D5686">
              <w:rPr>
                <w:rFonts w:ascii="Times New Roman" w:eastAsia="Times New Roman" w:hAnsi="Times New Roman"/>
                <w:sz w:val="24"/>
                <w:szCs w:val="24"/>
                <w:lang w:val="nl-NL"/>
              </w:rPr>
              <w:t>10</w:t>
            </w:r>
          </w:p>
        </w:tc>
        <w:tc>
          <w:tcPr>
            <w:tcW w:w="1019" w:type="pct"/>
            <w:shd w:val="clear" w:color="auto" w:fill="auto"/>
            <w:vAlign w:val="center"/>
          </w:tcPr>
          <w:p w14:paraId="2E3BFBE6" w14:textId="331E221B" w:rsidR="009D5686" w:rsidRPr="00A90AB7" w:rsidRDefault="009D5686" w:rsidP="00690CD3">
            <w:pPr>
              <w:tabs>
                <w:tab w:val="left" w:pos="540"/>
              </w:tabs>
              <w:spacing w:before="120" w:after="0" w:line="240" w:lineRule="auto"/>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7</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497</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48</w:t>
            </w:r>
          </w:p>
        </w:tc>
        <w:tc>
          <w:tcPr>
            <w:tcW w:w="1189" w:type="pct"/>
            <w:shd w:val="clear" w:color="auto" w:fill="auto"/>
            <w:vAlign w:val="center"/>
          </w:tcPr>
          <w:p w14:paraId="4E3B62B9" w14:textId="6B223BA4" w:rsidR="009D5686" w:rsidRPr="00A90AB7" w:rsidRDefault="009D5686" w:rsidP="00690CD3">
            <w:pPr>
              <w:tabs>
                <w:tab w:val="left" w:pos="540"/>
              </w:tabs>
              <w:spacing w:before="120" w:after="0" w:line="240" w:lineRule="auto"/>
              <w:jc w:val="center"/>
              <w:rPr>
                <w:rFonts w:ascii="Times New Roman" w:eastAsia="Times New Roman" w:hAnsi="Times New Roman"/>
                <w:sz w:val="24"/>
                <w:szCs w:val="24"/>
                <w:lang w:val="nl-NL"/>
              </w:rPr>
            </w:pPr>
            <w:r w:rsidRPr="009D5686">
              <w:rPr>
                <w:rFonts w:ascii="Times New Roman" w:eastAsia="Times New Roman" w:hAnsi="Times New Roman"/>
                <w:sz w:val="24"/>
                <w:szCs w:val="24"/>
                <w:lang w:val="nl-NL"/>
              </w:rPr>
              <w:t>81</w:t>
            </w:r>
            <w:r w:rsidR="00690CD3">
              <w:rPr>
                <w:rFonts w:ascii="Times New Roman" w:eastAsia="Times New Roman" w:hAnsi="Times New Roman"/>
                <w:sz w:val="24"/>
                <w:szCs w:val="24"/>
                <w:lang w:val="nl-NL"/>
              </w:rPr>
              <w:t>.</w:t>
            </w:r>
            <w:r w:rsidRPr="009D5686">
              <w:rPr>
                <w:rFonts w:ascii="Times New Roman" w:eastAsia="Times New Roman" w:hAnsi="Times New Roman"/>
                <w:sz w:val="24"/>
                <w:szCs w:val="24"/>
                <w:lang w:val="nl-NL"/>
              </w:rPr>
              <w:t>48%</w:t>
            </w:r>
          </w:p>
        </w:tc>
      </w:tr>
    </w:tbl>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15CAEC56"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w:t>
      </w:r>
      <w:r w:rsidR="00690CD3">
        <w:rPr>
          <w:rFonts w:ascii="Times New Roman" w:hAnsi="Times New Roman"/>
          <w:i/>
          <w:sz w:val="24"/>
          <w:szCs w:val="24"/>
          <w:lang w:val="nl-NL"/>
        </w:rPr>
        <w:t>,</w:t>
      </w:r>
      <w:r w:rsidRPr="00A90AB7">
        <w:rPr>
          <w:rFonts w:ascii="Times New Roman" w:hAnsi="Times New Roman"/>
          <w:i/>
          <w:sz w:val="24"/>
          <w:szCs w:val="24"/>
          <w:lang w:val="nl-NL"/>
        </w:rPr>
        <w:t xml:space="preserve"> chỉ tiêu không đủ dữ liệu để tính toán</w:t>
      </w:r>
      <w:r w:rsidR="00690CD3">
        <w:rPr>
          <w:rFonts w:ascii="Times New Roman" w:hAnsi="Times New Roman"/>
          <w:i/>
          <w:sz w:val="24"/>
          <w:szCs w:val="24"/>
          <w:lang w:val="nl-NL"/>
        </w:rPr>
        <w:t>,</w:t>
      </w:r>
    </w:p>
    <w:p w14:paraId="65C28DD3" w14:textId="41EDBB8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r w:rsidR="00690CD3">
        <w:rPr>
          <w:rFonts w:ascii="Times New Roman" w:hAnsi="Times New Roman"/>
          <w:i/>
          <w:sz w:val="24"/>
          <w:szCs w:val="24"/>
          <w:lang w:val="nl-NL"/>
        </w:rPr>
        <w:t>,</w:t>
      </w:r>
    </w:p>
    <w:p w14:paraId="73C7C01A" w14:textId="0985A701" w:rsidR="00DC1FD1"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r w:rsidR="00690CD3">
        <w:rPr>
          <w:rFonts w:ascii="Times New Roman" w:hAnsi="Times New Roman"/>
          <w:i/>
          <w:sz w:val="24"/>
          <w:szCs w:val="24"/>
          <w:lang w:val="nl-NL"/>
        </w:rPr>
        <w:t>,</w:t>
      </w:r>
    </w:p>
    <w:p w14:paraId="4ED89547" w14:textId="482AAF5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90CD3">
        <w:rPr>
          <w:rFonts w:ascii="Times New Roman" w:hAnsi="Times New Roman"/>
          <w:b/>
          <w:sz w:val="24"/>
          <w:szCs w:val="24"/>
          <w:lang w:val="nl-NL"/>
        </w:rPr>
        <w:t>4</w:t>
      </w:r>
      <w:r w:rsidR="00690CD3">
        <w:rPr>
          <w:rFonts w:ascii="Times New Roman" w:hAnsi="Times New Roman"/>
          <w:b/>
          <w:sz w:val="24"/>
          <w:szCs w:val="24"/>
          <w:lang w:val="nl-NL"/>
        </w:rPr>
        <w:t>.</w:t>
      </w:r>
      <w:r w:rsidRPr="00690CD3">
        <w:rPr>
          <w:rFonts w:ascii="Times New Roman" w:hAnsi="Times New Roman"/>
          <w:b/>
          <w:sz w:val="24"/>
          <w:szCs w:val="24"/>
          <w:lang w:val="nl-NL"/>
        </w:rPr>
        <w:t>2</w:t>
      </w:r>
      <w:r w:rsidR="00690CD3">
        <w:rPr>
          <w:rFonts w:ascii="Times New Roman" w:hAnsi="Times New Roman"/>
          <w:b/>
          <w:sz w:val="24"/>
          <w:szCs w:val="24"/>
          <w:lang w:val="nl-NL"/>
        </w:rPr>
        <w:t>.</w:t>
      </w:r>
      <w:r w:rsidRPr="00690CD3">
        <w:rPr>
          <w:rFonts w:ascii="Times New Roman" w:hAnsi="Times New Roman"/>
          <w:b/>
          <w:sz w:val="24"/>
          <w:szCs w:val="24"/>
          <w:lang w:val="nl-NL"/>
        </w:rPr>
        <w:t xml:space="preserve"> Thống kê về Nhà đầu tư nắm giữ Chứng chỉ </w:t>
      </w:r>
      <w:r w:rsidR="008F2B2D" w:rsidRPr="00690CD3">
        <w:rPr>
          <w:rFonts w:ascii="Times New Roman" w:hAnsi="Times New Roman"/>
          <w:b/>
          <w:sz w:val="24"/>
          <w:szCs w:val="24"/>
          <w:lang w:val="nl-NL"/>
        </w:rPr>
        <w:t>Q</w:t>
      </w:r>
      <w:r w:rsidRPr="00690CD3">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F075DE" w:rsidRPr="00A90AB7" w14:paraId="5AC8833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4A677275" w:rsidR="00F075DE" w:rsidRPr="00A90AB7" w:rsidRDefault="00F075DE" w:rsidP="00F075D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sidR="00690CD3">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69AE133" w14:textId="0412BC7D"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585</w:t>
            </w:r>
          </w:p>
        </w:tc>
        <w:tc>
          <w:tcPr>
            <w:tcW w:w="2692" w:type="dxa"/>
            <w:tcBorders>
              <w:top w:val="nil"/>
              <w:left w:val="nil"/>
              <w:bottom w:val="single" w:sz="8" w:space="0" w:color="auto"/>
              <w:right w:val="single" w:sz="8" w:space="0" w:color="auto"/>
            </w:tcBorders>
            <w:shd w:val="clear" w:color="auto" w:fill="auto"/>
          </w:tcPr>
          <w:p w14:paraId="0EBE36E9" w14:textId="715523F5"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462</w:t>
            </w:r>
            <w:r w:rsidR="00690CD3">
              <w:rPr>
                <w:rFonts w:ascii="Times New Roman" w:hAnsi="Times New Roman"/>
                <w:sz w:val="24"/>
                <w:szCs w:val="24"/>
              </w:rPr>
              <w:t>,</w:t>
            </w:r>
            <w:r w:rsidRPr="001541B4">
              <w:rPr>
                <w:rFonts w:ascii="Times New Roman" w:hAnsi="Times New Roman"/>
                <w:sz w:val="24"/>
                <w:szCs w:val="24"/>
              </w:rPr>
              <w:t>573</w:t>
            </w:r>
            <w:r w:rsidR="00690CD3">
              <w:rPr>
                <w:rFonts w:ascii="Times New Roman" w:hAnsi="Times New Roman"/>
                <w:sz w:val="24"/>
                <w:szCs w:val="24"/>
              </w:rPr>
              <w:t>.</w:t>
            </w:r>
            <w:r w:rsidRPr="001541B4">
              <w:rPr>
                <w:rFonts w:ascii="Times New Roman" w:hAnsi="Times New Roman"/>
                <w:sz w:val="24"/>
                <w:szCs w:val="24"/>
              </w:rPr>
              <w:t>03</w:t>
            </w:r>
          </w:p>
        </w:tc>
        <w:tc>
          <w:tcPr>
            <w:tcW w:w="1696" w:type="dxa"/>
            <w:tcBorders>
              <w:top w:val="nil"/>
              <w:left w:val="nil"/>
              <w:bottom w:val="single" w:sz="8" w:space="0" w:color="auto"/>
              <w:right w:val="single" w:sz="8" w:space="0" w:color="auto"/>
            </w:tcBorders>
            <w:shd w:val="clear" w:color="auto" w:fill="auto"/>
          </w:tcPr>
          <w:p w14:paraId="324D4E7B" w14:textId="606E2099"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5</w:t>
            </w:r>
            <w:r w:rsidR="00690CD3">
              <w:rPr>
                <w:rFonts w:ascii="Times New Roman" w:hAnsi="Times New Roman"/>
                <w:sz w:val="24"/>
                <w:szCs w:val="24"/>
              </w:rPr>
              <w:t>.</w:t>
            </w:r>
            <w:r w:rsidRPr="001541B4">
              <w:rPr>
                <w:rFonts w:ascii="Times New Roman" w:hAnsi="Times New Roman"/>
                <w:sz w:val="24"/>
                <w:szCs w:val="24"/>
              </w:rPr>
              <w:t>47%</w:t>
            </w:r>
          </w:p>
        </w:tc>
      </w:tr>
      <w:tr w:rsidR="00F075DE" w:rsidRPr="00A90AB7" w14:paraId="112DFD1E"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4550DE28" w:rsidR="00F075DE" w:rsidRPr="00A90AB7" w:rsidRDefault="00F075DE" w:rsidP="00F075D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sidR="00690CD3">
              <w:rPr>
                <w:rFonts w:ascii="Times New Roman" w:hAnsi="Times New Roman"/>
                <w:sz w:val="24"/>
                <w:szCs w:val="24"/>
              </w:rPr>
              <w:t>,</w:t>
            </w:r>
            <w:r w:rsidRPr="00A90AB7">
              <w:rPr>
                <w:rFonts w:ascii="Times New Roman" w:hAnsi="Times New Roman"/>
                <w:sz w:val="24"/>
                <w:szCs w:val="24"/>
              </w:rPr>
              <w:t xml:space="preserve">000 </w:t>
            </w:r>
            <w:r w:rsidR="00690CD3">
              <w:rPr>
                <w:rFonts w:ascii="Times New Roman" w:hAnsi="Times New Roman"/>
                <w:sz w:val="24"/>
                <w:szCs w:val="24"/>
              </w:rPr>
              <w:t>–</w:t>
            </w:r>
            <w:r w:rsidRPr="00A90AB7">
              <w:rPr>
                <w:rFonts w:ascii="Times New Roman" w:hAnsi="Times New Roman"/>
                <w:sz w:val="24"/>
                <w:szCs w:val="24"/>
              </w:rPr>
              <w:t xml:space="preserve"> 10</w:t>
            </w:r>
            <w:r w:rsidR="00690CD3">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23D61E2" w14:textId="181C2BB8"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35</w:t>
            </w:r>
          </w:p>
        </w:tc>
        <w:tc>
          <w:tcPr>
            <w:tcW w:w="2692" w:type="dxa"/>
            <w:tcBorders>
              <w:top w:val="nil"/>
              <w:left w:val="nil"/>
              <w:bottom w:val="single" w:sz="8" w:space="0" w:color="auto"/>
              <w:right w:val="single" w:sz="8" w:space="0" w:color="auto"/>
            </w:tcBorders>
            <w:shd w:val="clear" w:color="auto" w:fill="auto"/>
          </w:tcPr>
          <w:p w14:paraId="17E0FA6A" w14:textId="4D6E8212"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242</w:t>
            </w:r>
            <w:r w:rsidR="00690CD3">
              <w:rPr>
                <w:rFonts w:ascii="Times New Roman" w:hAnsi="Times New Roman"/>
                <w:sz w:val="24"/>
                <w:szCs w:val="24"/>
              </w:rPr>
              <w:t>,</w:t>
            </w:r>
            <w:r w:rsidRPr="001541B4">
              <w:rPr>
                <w:rFonts w:ascii="Times New Roman" w:hAnsi="Times New Roman"/>
                <w:sz w:val="24"/>
                <w:szCs w:val="24"/>
              </w:rPr>
              <w:t>737</w:t>
            </w:r>
            <w:r w:rsidR="00690CD3">
              <w:rPr>
                <w:rFonts w:ascii="Times New Roman" w:hAnsi="Times New Roman"/>
                <w:sz w:val="24"/>
                <w:szCs w:val="24"/>
              </w:rPr>
              <w:t>.</w:t>
            </w:r>
            <w:r w:rsidRPr="001541B4">
              <w:rPr>
                <w:rFonts w:ascii="Times New Roman" w:hAnsi="Times New Roman"/>
                <w:sz w:val="24"/>
                <w:szCs w:val="24"/>
              </w:rPr>
              <w:t>17</w:t>
            </w:r>
          </w:p>
        </w:tc>
        <w:tc>
          <w:tcPr>
            <w:tcW w:w="1696" w:type="dxa"/>
            <w:tcBorders>
              <w:top w:val="nil"/>
              <w:left w:val="nil"/>
              <w:bottom w:val="single" w:sz="8" w:space="0" w:color="auto"/>
              <w:right w:val="single" w:sz="8" w:space="0" w:color="auto"/>
            </w:tcBorders>
            <w:shd w:val="clear" w:color="auto" w:fill="auto"/>
          </w:tcPr>
          <w:p w14:paraId="2CF369C9" w14:textId="2C91F6D4"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2</w:t>
            </w:r>
            <w:r w:rsidR="00690CD3">
              <w:rPr>
                <w:rFonts w:ascii="Times New Roman" w:hAnsi="Times New Roman"/>
                <w:sz w:val="24"/>
                <w:szCs w:val="24"/>
              </w:rPr>
              <w:t>.</w:t>
            </w:r>
            <w:r w:rsidRPr="001541B4">
              <w:rPr>
                <w:rFonts w:ascii="Times New Roman" w:hAnsi="Times New Roman"/>
                <w:sz w:val="24"/>
                <w:szCs w:val="24"/>
              </w:rPr>
              <w:t>87%</w:t>
            </w:r>
          </w:p>
        </w:tc>
      </w:tr>
      <w:tr w:rsidR="00F075DE" w:rsidRPr="00A90AB7" w14:paraId="33F2F3B6"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5A059D5B" w:rsidR="00F075DE" w:rsidRPr="00A90AB7" w:rsidRDefault="00F075DE" w:rsidP="00F075D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sidR="00690CD3">
              <w:rPr>
                <w:rFonts w:ascii="Times New Roman" w:hAnsi="Times New Roman"/>
                <w:sz w:val="24"/>
                <w:szCs w:val="24"/>
              </w:rPr>
              <w:t>,</w:t>
            </w:r>
            <w:r w:rsidRPr="00A90AB7">
              <w:rPr>
                <w:rFonts w:ascii="Times New Roman" w:hAnsi="Times New Roman"/>
                <w:sz w:val="24"/>
                <w:szCs w:val="24"/>
              </w:rPr>
              <w:t xml:space="preserve">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w:t>
            </w:r>
            <w:r w:rsidR="00690CD3">
              <w:rPr>
                <w:rFonts w:ascii="Times New Roman" w:hAnsi="Times New Roman"/>
                <w:sz w:val="24"/>
                <w:szCs w:val="24"/>
              </w:rPr>
              <w:t>0,</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3406A864" w14:textId="38B58145"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21</w:t>
            </w:r>
          </w:p>
        </w:tc>
        <w:tc>
          <w:tcPr>
            <w:tcW w:w="2692" w:type="dxa"/>
            <w:tcBorders>
              <w:top w:val="nil"/>
              <w:left w:val="nil"/>
              <w:bottom w:val="single" w:sz="8" w:space="0" w:color="auto"/>
              <w:right w:val="single" w:sz="8" w:space="0" w:color="auto"/>
            </w:tcBorders>
            <w:shd w:val="clear" w:color="auto" w:fill="auto"/>
          </w:tcPr>
          <w:p w14:paraId="7E76C849" w14:textId="209A4E24"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431</w:t>
            </w:r>
            <w:r w:rsidR="00690CD3">
              <w:rPr>
                <w:rFonts w:ascii="Times New Roman" w:hAnsi="Times New Roman"/>
                <w:sz w:val="24"/>
                <w:szCs w:val="24"/>
              </w:rPr>
              <w:t>,</w:t>
            </w:r>
            <w:r w:rsidRPr="001541B4">
              <w:rPr>
                <w:rFonts w:ascii="Times New Roman" w:hAnsi="Times New Roman"/>
                <w:sz w:val="24"/>
                <w:szCs w:val="24"/>
              </w:rPr>
              <w:t>106</w:t>
            </w:r>
            <w:r w:rsidR="00690CD3">
              <w:rPr>
                <w:rFonts w:ascii="Times New Roman" w:hAnsi="Times New Roman"/>
                <w:sz w:val="24"/>
                <w:szCs w:val="24"/>
              </w:rPr>
              <w:t>.</w:t>
            </w:r>
            <w:r w:rsidRPr="001541B4">
              <w:rPr>
                <w:rFonts w:ascii="Times New Roman" w:hAnsi="Times New Roman"/>
                <w:sz w:val="24"/>
                <w:szCs w:val="24"/>
              </w:rPr>
              <w:t>38</w:t>
            </w:r>
          </w:p>
        </w:tc>
        <w:tc>
          <w:tcPr>
            <w:tcW w:w="1696" w:type="dxa"/>
            <w:tcBorders>
              <w:top w:val="nil"/>
              <w:left w:val="nil"/>
              <w:bottom w:val="single" w:sz="8" w:space="0" w:color="auto"/>
              <w:right w:val="single" w:sz="8" w:space="0" w:color="auto"/>
            </w:tcBorders>
            <w:shd w:val="clear" w:color="auto" w:fill="auto"/>
          </w:tcPr>
          <w:p w14:paraId="2DEE8F0F" w14:textId="621291A1"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5</w:t>
            </w:r>
            <w:r w:rsidR="00690CD3">
              <w:rPr>
                <w:rFonts w:ascii="Times New Roman" w:hAnsi="Times New Roman"/>
                <w:sz w:val="24"/>
                <w:szCs w:val="24"/>
              </w:rPr>
              <w:t>.</w:t>
            </w:r>
            <w:r w:rsidRPr="001541B4">
              <w:rPr>
                <w:rFonts w:ascii="Times New Roman" w:hAnsi="Times New Roman"/>
                <w:sz w:val="24"/>
                <w:szCs w:val="24"/>
              </w:rPr>
              <w:t>10%</w:t>
            </w:r>
          </w:p>
        </w:tc>
      </w:tr>
      <w:tr w:rsidR="00F075DE" w:rsidRPr="00A90AB7" w14:paraId="53AAF433"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337B8EF2" w:rsidR="00F075DE" w:rsidRPr="00A90AB7" w:rsidRDefault="00F075DE" w:rsidP="00F075D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sidR="00690CD3">
              <w:rPr>
                <w:rFonts w:ascii="Times New Roman" w:hAnsi="Times New Roman"/>
                <w:sz w:val="24"/>
                <w:szCs w:val="24"/>
              </w:rPr>
              <w:t>,</w:t>
            </w:r>
            <w:r w:rsidRPr="00A90AB7">
              <w:rPr>
                <w:rFonts w:ascii="Times New Roman" w:hAnsi="Times New Roman"/>
                <w:sz w:val="24"/>
                <w:szCs w:val="24"/>
              </w:rPr>
              <w:t xml:space="preserve">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w:t>
            </w:r>
            <w:r w:rsidR="00690CD3">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62BA28D6" w14:textId="47891BFB"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1ABD868A" w14:textId="5B54BD77"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318</w:t>
            </w:r>
            <w:r w:rsidR="00690CD3">
              <w:rPr>
                <w:rFonts w:ascii="Times New Roman" w:hAnsi="Times New Roman"/>
                <w:sz w:val="24"/>
                <w:szCs w:val="24"/>
              </w:rPr>
              <w:t>,</w:t>
            </w:r>
            <w:r w:rsidRPr="001541B4">
              <w:rPr>
                <w:rFonts w:ascii="Times New Roman" w:hAnsi="Times New Roman"/>
                <w:sz w:val="24"/>
                <w:szCs w:val="24"/>
              </w:rPr>
              <w:t>555</w:t>
            </w:r>
            <w:r w:rsidR="00690CD3">
              <w:rPr>
                <w:rFonts w:ascii="Times New Roman" w:hAnsi="Times New Roman"/>
                <w:sz w:val="24"/>
                <w:szCs w:val="24"/>
              </w:rPr>
              <w:t>.</w:t>
            </w:r>
            <w:r w:rsidRPr="001541B4">
              <w:rPr>
                <w:rFonts w:ascii="Times New Roman" w:hAnsi="Times New Roman"/>
                <w:sz w:val="24"/>
                <w:szCs w:val="24"/>
              </w:rPr>
              <w:t>40</w:t>
            </w:r>
          </w:p>
        </w:tc>
        <w:tc>
          <w:tcPr>
            <w:tcW w:w="1696" w:type="dxa"/>
            <w:tcBorders>
              <w:top w:val="nil"/>
              <w:left w:val="nil"/>
              <w:bottom w:val="single" w:sz="8" w:space="0" w:color="auto"/>
              <w:right w:val="single" w:sz="8" w:space="0" w:color="auto"/>
            </w:tcBorders>
            <w:shd w:val="clear" w:color="auto" w:fill="auto"/>
          </w:tcPr>
          <w:p w14:paraId="73DF2C14" w14:textId="5C80EDF1"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3</w:t>
            </w:r>
            <w:r w:rsidR="00690CD3">
              <w:rPr>
                <w:rFonts w:ascii="Times New Roman" w:hAnsi="Times New Roman"/>
                <w:sz w:val="24"/>
                <w:szCs w:val="24"/>
              </w:rPr>
              <w:t>.</w:t>
            </w:r>
            <w:r w:rsidRPr="001541B4">
              <w:rPr>
                <w:rFonts w:ascii="Times New Roman" w:hAnsi="Times New Roman"/>
                <w:sz w:val="24"/>
                <w:szCs w:val="24"/>
              </w:rPr>
              <w:t>77%</w:t>
            </w:r>
          </w:p>
        </w:tc>
      </w:tr>
      <w:tr w:rsidR="00F075DE" w:rsidRPr="00A90AB7" w14:paraId="656817C8"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6C41826" w:rsidR="00F075DE" w:rsidRPr="00A90AB7" w:rsidRDefault="00F075DE" w:rsidP="00F075DE">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w:t>
            </w:r>
            <w:r w:rsidR="00690CD3">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709B3670" w14:textId="6A9E6C4C"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4EE0F270"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7</w:t>
            </w:r>
            <w:r w:rsidR="00690CD3">
              <w:rPr>
                <w:rFonts w:ascii="Times New Roman" w:hAnsi="Times New Roman"/>
                <w:sz w:val="24"/>
                <w:szCs w:val="24"/>
              </w:rPr>
              <w:t>,</w:t>
            </w:r>
            <w:r w:rsidRPr="001541B4">
              <w:rPr>
                <w:rFonts w:ascii="Times New Roman" w:hAnsi="Times New Roman"/>
                <w:sz w:val="24"/>
                <w:szCs w:val="24"/>
              </w:rPr>
              <w:t>000</w:t>
            </w:r>
            <w:r w:rsidR="00690CD3">
              <w:rPr>
                <w:rFonts w:ascii="Times New Roman" w:hAnsi="Times New Roman"/>
                <w:sz w:val="24"/>
                <w:szCs w:val="24"/>
              </w:rPr>
              <w:t>,</w:t>
            </w:r>
            <w:r w:rsidRPr="001541B4">
              <w:rPr>
                <w:rFonts w:ascii="Times New Roman" w:hAnsi="Times New Roman"/>
                <w:sz w:val="24"/>
                <w:szCs w:val="24"/>
              </w:rPr>
              <w:t>000</w:t>
            </w:r>
            <w:r w:rsidR="00690CD3">
              <w:rPr>
                <w:rFonts w:ascii="Times New Roman" w:hAnsi="Times New Roman"/>
                <w:sz w:val="24"/>
                <w:szCs w:val="24"/>
              </w:rPr>
              <w:t>.</w:t>
            </w:r>
            <w:r w:rsidRPr="001541B4">
              <w:rPr>
                <w:rFonts w:ascii="Times New Roman" w:hAnsi="Times New Roman"/>
                <w:sz w:val="24"/>
                <w:szCs w:val="24"/>
              </w:rPr>
              <w:t>00</w:t>
            </w:r>
          </w:p>
        </w:tc>
        <w:tc>
          <w:tcPr>
            <w:tcW w:w="1696" w:type="dxa"/>
            <w:tcBorders>
              <w:top w:val="nil"/>
              <w:left w:val="nil"/>
              <w:bottom w:val="single" w:sz="8" w:space="0" w:color="auto"/>
              <w:right w:val="single" w:sz="8" w:space="0" w:color="auto"/>
            </w:tcBorders>
            <w:shd w:val="clear" w:color="auto" w:fill="auto"/>
          </w:tcPr>
          <w:p w14:paraId="28BFE95B" w14:textId="64131A61" w:rsidR="00F075DE" w:rsidRPr="00B97429" w:rsidRDefault="00F075DE" w:rsidP="00F075DE">
            <w:pPr>
              <w:spacing w:after="0" w:line="240" w:lineRule="auto"/>
              <w:jc w:val="center"/>
              <w:rPr>
                <w:rFonts w:ascii="Times New Roman" w:eastAsia="Times New Roman" w:hAnsi="Times New Roman"/>
                <w:iCs/>
                <w:sz w:val="24"/>
                <w:szCs w:val="24"/>
              </w:rPr>
            </w:pPr>
            <w:r w:rsidRPr="001541B4">
              <w:rPr>
                <w:rFonts w:ascii="Times New Roman" w:hAnsi="Times New Roman"/>
                <w:sz w:val="24"/>
                <w:szCs w:val="24"/>
              </w:rPr>
              <w:t>82</w:t>
            </w:r>
            <w:r w:rsidR="00690CD3">
              <w:rPr>
                <w:rFonts w:ascii="Times New Roman" w:hAnsi="Times New Roman"/>
                <w:sz w:val="24"/>
                <w:szCs w:val="24"/>
              </w:rPr>
              <w:t>.</w:t>
            </w:r>
            <w:r w:rsidRPr="001541B4">
              <w:rPr>
                <w:rFonts w:ascii="Times New Roman" w:hAnsi="Times New Roman"/>
                <w:sz w:val="24"/>
                <w:szCs w:val="24"/>
              </w:rPr>
              <w:t>79%</w:t>
            </w:r>
          </w:p>
        </w:tc>
      </w:tr>
      <w:tr w:rsidR="00F075DE" w:rsidRPr="00A90AB7" w14:paraId="7A11D66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F075DE" w:rsidRPr="00A90AB7" w:rsidRDefault="00F075DE" w:rsidP="00F075DE">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3A765FF1" w:rsidR="00F075DE" w:rsidRPr="00B97429" w:rsidRDefault="00F075DE" w:rsidP="00F075DE">
            <w:pPr>
              <w:spacing w:after="0" w:line="240" w:lineRule="auto"/>
              <w:jc w:val="center"/>
              <w:rPr>
                <w:rFonts w:ascii="Times New Roman" w:eastAsia="Times New Roman" w:hAnsi="Times New Roman"/>
                <w:b/>
                <w:bCs/>
                <w:iCs/>
                <w:sz w:val="24"/>
                <w:szCs w:val="24"/>
              </w:rPr>
            </w:pPr>
            <w:r w:rsidRPr="0083658F">
              <w:rPr>
                <w:rFonts w:ascii="Times New Roman" w:hAnsi="Times New Roman"/>
                <w:b/>
                <w:bCs/>
                <w:sz w:val="24"/>
                <w:szCs w:val="24"/>
              </w:rPr>
              <w:t>645</w:t>
            </w:r>
          </w:p>
        </w:tc>
        <w:tc>
          <w:tcPr>
            <w:tcW w:w="2692" w:type="dxa"/>
            <w:tcBorders>
              <w:top w:val="nil"/>
              <w:left w:val="nil"/>
              <w:bottom w:val="single" w:sz="8" w:space="0" w:color="auto"/>
              <w:right w:val="single" w:sz="8" w:space="0" w:color="auto"/>
            </w:tcBorders>
            <w:shd w:val="clear" w:color="auto" w:fill="auto"/>
          </w:tcPr>
          <w:p w14:paraId="270549B9" w14:textId="6BE53571" w:rsidR="00F075DE" w:rsidRPr="00B97429" w:rsidRDefault="00F075DE" w:rsidP="00F075DE">
            <w:pPr>
              <w:spacing w:after="0" w:line="240" w:lineRule="auto"/>
              <w:jc w:val="center"/>
              <w:rPr>
                <w:rFonts w:ascii="Times New Roman" w:eastAsia="Times New Roman" w:hAnsi="Times New Roman"/>
                <w:b/>
                <w:bCs/>
                <w:iCs/>
                <w:sz w:val="24"/>
                <w:szCs w:val="24"/>
              </w:rPr>
            </w:pPr>
            <w:r w:rsidRPr="0083658F">
              <w:rPr>
                <w:rFonts w:ascii="Times New Roman" w:hAnsi="Times New Roman"/>
                <w:b/>
                <w:bCs/>
                <w:sz w:val="24"/>
                <w:szCs w:val="24"/>
              </w:rPr>
              <w:t xml:space="preserve"> 8</w:t>
            </w:r>
            <w:r w:rsidR="00690CD3">
              <w:rPr>
                <w:rFonts w:ascii="Times New Roman" w:hAnsi="Times New Roman"/>
                <w:b/>
                <w:bCs/>
                <w:sz w:val="24"/>
                <w:szCs w:val="24"/>
              </w:rPr>
              <w:t>,</w:t>
            </w:r>
            <w:r w:rsidRPr="0083658F">
              <w:rPr>
                <w:rFonts w:ascii="Times New Roman" w:hAnsi="Times New Roman"/>
                <w:b/>
                <w:bCs/>
                <w:sz w:val="24"/>
                <w:szCs w:val="24"/>
              </w:rPr>
              <w:t>454</w:t>
            </w:r>
            <w:r w:rsidR="00690CD3">
              <w:rPr>
                <w:rFonts w:ascii="Times New Roman" w:hAnsi="Times New Roman"/>
                <w:b/>
                <w:bCs/>
                <w:sz w:val="24"/>
                <w:szCs w:val="24"/>
              </w:rPr>
              <w:t>,</w:t>
            </w:r>
            <w:r w:rsidRPr="0083658F">
              <w:rPr>
                <w:rFonts w:ascii="Times New Roman" w:hAnsi="Times New Roman"/>
                <w:b/>
                <w:bCs/>
                <w:sz w:val="24"/>
                <w:szCs w:val="24"/>
              </w:rPr>
              <w:t>971</w:t>
            </w:r>
            <w:r w:rsidR="00690CD3">
              <w:rPr>
                <w:rFonts w:ascii="Times New Roman" w:hAnsi="Times New Roman"/>
                <w:b/>
                <w:bCs/>
                <w:sz w:val="24"/>
                <w:szCs w:val="24"/>
              </w:rPr>
              <w:t>.</w:t>
            </w:r>
            <w:r w:rsidRPr="0083658F">
              <w:rPr>
                <w:rFonts w:ascii="Times New Roman" w:hAnsi="Times New Roman"/>
                <w:b/>
                <w:bCs/>
                <w:sz w:val="24"/>
                <w:szCs w:val="24"/>
              </w:rPr>
              <w:t xml:space="preserve">98 </w:t>
            </w:r>
          </w:p>
        </w:tc>
        <w:tc>
          <w:tcPr>
            <w:tcW w:w="1696" w:type="dxa"/>
            <w:tcBorders>
              <w:top w:val="nil"/>
              <w:left w:val="nil"/>
              <w:bottom w:val="single" w:sz="8" w:space="0" w:color="auto"/>
              <w:right w:val="single" w:sz="8" w:space="0" w:color="auto"/>
            </w:tcBorders>
            <w:shd w:val="clear" w:color="auto" w:fill="auto"/>
          </w:tcPr>
          <w:p w14:paraId="10E9F2BC" w14:textId="17C9733C" w:rsidR="00F075DE" w:rsidRPr="00B97429" w:rsidRDefault="00F075DE" w:rsidP="00F075DE">
            <w:pPr>
              <w:spacing w:after="0" w:line="240" w:lineRule="auto"/>
              <w:jc w:val="center"/>
              <w:rPr>
                <w:rFonts w:ascii="Times New Roman" w:eastAsia="Times New Roman" w:hAnsi="Times New Roman"/>
                <w:b/>
                <w:bCs/>
                <w:iCs/>
                <w:sz w:val="24"/>
                <w:szCs w:val="24"/>
              </w:rPr>
            </w:pPr>
            <w:r w:rsidRPr="0083658F">
              <w:rPr>
                <w:rFonts w:ascii="Times New Roman" w:hAnsi="Times New Roman"/>
                <w:b/>
                <w:bCs/>
                <w:sz w:val="24"/>
                <w:szCs w:val="24"/>
              </w:rPr>
              <w:t>100</w:t>
            </w:r>
            <w:r w:rsidR="00690CD3">
              <w:rPr>
                <w:rFonts w:ascii="Times New Roman" w:hAnsi="Times New Roman"/>
                <w:b/>
                <w:bCs/>
                <w:sz w:val="24"/>
                <w:szCs w:val="24"/>
              </w:rPr>
              <w:t>.</w:t>
            </w:r>
            <w:r w:rsidRPr="0083658F">
              <w:rPr>
                <w:rFonts w:ascii="Times New Roman" w:hAnsi="Times New Roman"/>
                <w:b/>
                <w:bCs/>
                <w:sz w:val="24"/>
                <w:szCs w:val="24"/>
              </w:rPr>
              <w:t>00%</w:t>
            </w:r>
          </w:p>
        </w:tc>
      </w:tr>
    </w:tbl>
    <w:p w14:paraId="6B5618EA" w14:textId="34D41B5E"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lastRenderedPageBreak/>
        <w:t>5</w:t>
      </w:r>
      <w:r w:rsidR="00690CD3">
        <w:rPr>
          <w:rFonts w:ascii="Times New Roman" w:hAnsi="Times New Roman"/>
          <w:b/>
          <w:sz w:val="24"/>
          <w:szCs w:val="24"/>
          <w:lang w:val="nl-NL"/>
        </w:rPr>
        <w:t>.</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014DFB9E"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w:t>
      </w:r>
      <w:r w:rsidR="00690CD3">
        <w:rPr>
          <w:rFonts w:ascii="Times New Roman" w:hAnsi="Times New Roman"/>
          <w:sz w:val="24"/>
          <w:szCs w:val="24"/>
          <w:lang w:val="nl-NL"/>
        </w:rPr>
        <w:t>,</w:t>
      </w:r>
      <w:r w:rsidRPr="00A90AB7">
        <w:rPr>
          <w:rFonts w:ascii="Times New Roman" w:hAnsi="Times New Roman"/>
          <w:sz w:val="24"/>
          <w:szCs w:val="24"/>
          <w:lang w:val="nl-NL"/>
        </w:rPr>
        <w:t xml:space="preserve"> Tất cả các chi phí của Quỹ được quy định chi tiết trong điều lệ Quỹ và bản cáo bạch</w:t>
      </w:r>
      <w:r w:rsidR="00690CD3">
        <w:rPr>
          <w:rFonts w:ascii="Times New Roman" w:hAnsi="Times New Roman"/>
          <w:sz w:val="24"/>
          <w:szCs w:val="24"/>
          <w:lang w:val="nl-NL"/>
        </w:rPr>
        <w:t>,</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4F8823D9"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90CD3">
        <w:rPr>
          <w:rFonts w:ascii="Times New Roman" w:hAnsi="Times New Roman"/>
          <w:b/>
          <w:sz w:val="24"/>
          <w:szCs w:val="24"/>
          <w:lang w:val="nl-NL"/>
        </w:rPr>
        <w:t>V</w:t>
      </w:r>
      <w:r w:rsidR="00690CD3">
        <w:rPr>
          <w:rFonts w:ascii="Times New Roman" w:hAnsi="Times New Roman"/>
          <w:b/>
          <w:sz w:val="24"/>
          <w:szCs w:val="24"/>
          <w:lang w:val="nl-NL"/>
        </w:rPr>
        <w:t>.</w:t>
      </w:r>
      <w:r w:rsidRPr="00690CD3">
        <w:rPr>
          <w:rFonts w:ascii="Times New Roman" w:hAnsi="Times New Roman"/>
          <w:b/>
          <w:sz w:val="24"/>
          <w:szCs w:val="24"/>
          <w:lang w:val="nl-NL"/>
        </w:rPr>
        <w:t xml:space="preserve"> Thông tin về triển vọng thị trường</w:t>
      </w:r>
    </w:p>
    <w:p w14:paraId="4ECC59EF" w14:textId="3B6D1994" w:rsidR="00F075DE" w:rsidRPr="00A90AB7" w:rsidRDefault="00F075DE" w:rsidP="00F075D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Biểu đồ bên dưới thể hiện diễn biến chỉ số VN-index (dây màu xanh</w:t>
      </w:r>
      <w:r w:rsidR="00690CD3">
        <w:rPr>
          <w:rFonts w:ascii="Times New Roman" w:hAnsi="Times New Roman"/>
          <w:sz w:val="24"/>
          <w:szCs w:val="24"/>
          <w:lang w:val="nl-NL"/>
        </w:rPr>
        <w:t>,</w:t>
      </w:r>
      <w:r>
        <w:rPr>
          <w:rFonts w:ascii="Times New Roman" w:hAnsi="Times New Roman"/>
          <w:sz w:val="24"/>
          <w:szCs w:val="24"/>
          <w:lang w:val="nl-NL"/>
        </w:rPr>
        <w:t xml:space="preserve"> chiếu qua trục bên phải</w:t>
      </w:r>
      <w:r w:rsidRPr="00A90AB7">
        <w:rPr>
          <w:rFonts w:ascii="Times New Roman" w:hAnsi="Times New Roman"/>
          <w:sz w:val="24"/>
          <w:szCs w:val="24"/>
          <w:lang w:val="nl-NL"/>
        </w:rPr>
        <w:t>) và giá trị giao dịch (cột màu đỏ</w:t>
      </w:r>
      <w:r w:rsidR="00690CD3">
        <w:rPr>
          <w:rFonts w:ascii="Times New Roman" w:hAnsi="Times New Roman"/>
          <w:sz w:val="24"/>
          <w:szCs w:val="24"/>
          <w:lang w:val="nl-NL"/>
        </w:rPr>
        <w:t>,</w:t>
      </w:r>
      <w:r>
        <w:rPr>
          <w:rFonts w:ascii="Times New Roman" w:hAnsi="Times New Roman"/>
          <w:sz w:val="24"/>
          <w:szCs w:val="24"/>
          <w:lang w:val="nl-NL"/>
        </w:rPr>
        <w:t xml:space="preserve"> chiếu qua trục bên trái</w:t>
      </w:r>
      <w:r w:rsidR="00690CD3">
        <w:rPr>
          <w:rFonts w:ascii="Times New Roman" w:hAnsi="Times New Roman"/>
          <w:sz w:val="24"/>
          <w:szCs w:val="24"/>
          <w:lang w:val="nl-NL"/>
        </w:rPr>
        <w:t>,</w:t>
      </w:r>
      <w:r>
        <w:rPr>
          <w:rFonts w:ascii="Times New Roman" w:hAnsi="Times New Roman"/>
          <w:sz w:val="24"/>
          <w:szCs w:val="24"/>
          <w:lang w:val="nl-NL"/>
        </w:rPr>
        <w:t xml:space="preserve"> đơn vị: tỷ đồng/ ngày</w:t>
      </w:r>
      <w:r w:rsidRPr="00A90AB7">
        <w:rPr>
          <w:rFonts w:ascii="Times New Roman" w:hAnsi="Times New Roman"/>
          <w:sz w:val="24"/>
          <w:szCs w:val="24"/>
          <w:lang w:val="nl-NL"/>
        </w:rPr>
        <w:t>)</w:t>
      </w:r>
    </w:p>
    <w:p w14:paraId="10A30968" w14:textId="77777777" w:rsidR="00F075DE" w:rsidRPr="00315A8E" w:rsidRDefault="00F075DE" w:rsidP="00F075DE">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77232B">
        <w:rPr>
          <w:noProof/>
        </w:rPr>
        <w:drawing>
          <wp:inline distT="0" distB="0" distL="0" distR="0" wp14:anchorId="312A6C5B" wp14:editId="438BB00E">
            <wp:extent cx="5943600" cy="3714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4115"/>
                    </a:xfrm>
                    <a:prstGeom prst="rect">
                      <a:avLst/>
                    </a:prstGeom>
                    <a:noFill/>
                    <a:ln>
                      <a:noFill/>
                    </a:ln>
                  </pic:spPr>
                </pic:pic>
              </a:graphicData>
            </a:graphic>
          </wp:inline>
        </w:drawing>
      </w:r>
    </w:p>
    <w:p w14:paraId="59AC9D9E" w14:textId="26567AAC" w:rsidR="00F075DE" w:rsidRPr="00F14111" w:rsidRDefault="00F075DE" w:rsidP="00F075DE">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Dữ liệu thị trường chứng khoán cho thấy trong quý 1</w:t>
      </w:r>
      <w:r>
        <w:rPr>
          <w:rFonts w:ascii="Times New Roman" w:hAnsi="Times New Roman"/>
          <w:sz w:val="24"/>
          <w:szCs w:val="24"/>
          <w:lang w:val="nl-NL"/>
        </w:rPr>
        <w:t>/</w:t>
      </w:r>
      <w:r w:rsidRPr="00F14111">
        <w:rPr>
          <w:rFonts w:ascii="Times New Roman" w:hAnsi="Times New Roman"/>
          <w:sz w:val="24"/>
          <w:szCs w:val="24"/>
          <w:lang w:val="nl-NL"/>
        </w:rPr>
        <w:t>202</w:t>
      </w:r>
      <w:r>
        <w:rPr>
          <w:rFonts w:ascii="Times New Roman" w:hAnsi="Times New Roman"/>
          <w:sz w:val="24"/>
          <w:szCs w:val="24"/>
          <w:lang w:val="nl-NL"/>
        </w:rPr>
        <w:t xml:space="preserve">1 thị trường chứng khoán </w:t>
      </w:r>
      <w:r w:rsidRPr="00F14111">
        <w:rPr>
          <w:rFonts w:ascii="Times New Roman" w:hAnsi="Times New Roman"/>
          <w:sz w:val="24"/>
          <w:szCs w:val="24"/>
          <w:lang w:val="nl-NL"/>
        </w:rPr>
        <w:t xml:space="preserve">đã </w:t>
      </w:r>
      <w:r>
        <w:rPr>
          <w:rFonts w:ascii="Times New Roman" w:hAnsi="Times New Roman"/>
          <w:sz w:val="24"/>
          <w:szCs w:val="24"/>
          <w:lang w:val="nl-NL"/>
        </w:rPr>
        <w:t>tiếp đà tăng trưởng của Quý 4/2020</w:t>
      </w:r>
      <w:r w:rsidRPr="00F14111">
        <w:rPr>
          <w:rFonts w:ascii="Times New Roman" w:hAnsi="Times New Roman"/>
          <w:sz w:val="24"/>
          <w:szCs w:val="24"/>
          <w:lang w:val="nl-NL"/>
        </w:rPr>
        <w:t xml:space="preserve"> </w:t>
      </w:r>
      <w:r>
        <w:rPr>
          <w:rFonts w:ascii="Times New Roman" w:hAnsi="Times New Roman"/>
          <w:sz w:val="24"/>
          <w:szCs w:val="24"/>
          <w:lang w:val="nl-NL"/>
        </w:rPr>
        <w:t xml:space="preserve">khi </w:t>
      </w:r>
      <w:r w:rsidRPr="00F14111">
        <w:rPr>
          <w:rFonts w:ascii="Times New Roman" w:hAnsi="Times New Roman"/>
          <w:sz w:val="24"/>
          <w:szCs w:val="24"/>
          <w:lang w:val="nl-NL"/>
        </w:rPr>
        <w:t xml:space="preserve">chỉ số VN-index </w:t>
      </w:r>
      <w:r>
        <w:rPr>
          <w:rFonts w:ascii="Times New Roman" w:hAnsi="Times New Roman"/>
          <w:sz w:val="24"/>
          <w:szCs w:val="24"/>
          <w:lang w:val="nl-NL"/>
        </w:rPr>
        <w:t xml:space="preserve">tăng </w:t>
      </w:r>
      <w:r w:rsidRPr="00F14111">
        <w:rPr>
          <w:rFonts w:ascii="Times New Roman" w:hAnsi="Times New Roman"/>
          <w:sz w:val="24"/>
          <w:szCs w:val="24"/>
          <w:lang w:val="nl-NL"/>
        </w:rPr>
        <w:t xml:space="preserve"> mạnh </w:t>
      </w:r>
      <w:r>
        <w:rPr>
          <w:rFonts w:ascii="Times New Roman" w:hAnsi="Times New Roman"/>
          <w:sz w:val="24"/>
          <w:szCs w:val="24"/>
          <w:lang w:val="nl-NL"/>
        </w:rPr>
        <w:t>gần 8</w:t>
      </w:r>
      <w:r w:rsidRPr="00F14111">
        <w:rPr>
          <w:rFonts w:ascii="Times New Roman" w:hAnsi="Times New Roman"/>
          <w:sz w:val="24"/>
          <w:szCs w:val="24"/>
          <w:lang w:val="nl-NL"/>
        </w:rPr>
        <w:t>%</w:t>
      </w:r>
      <w:r>
        <w:rPr>
          <w:rFonts w:ascii="Times New Roman" w:hAnsi="Times New Roman"/>
          <w:sz w:val="24"/>
          <w:szCs w:val="24"/>
          <w:lang w:val="nl-NL"/>
        </w:rPr>
        <w:t xml:space="preserve"> so với cuối năm 2020</w:t>
      </w:r>
      <w:r w:rsidR="00690CD3">
        <w:rPr>
          <w:rFonts w:ascii="Times New Roman" w:hAnsi="Times New Roman"/>
          <w:sz w:val="24"/>
          <w:szCs w:val="24"/>
          <w:lang w:val="nl-NL"/>
        </w:rPr>
        <w:t>,</w:t>
      </w:r>
      <w:r>
        <w:rPr>
          <w:rFonts w:ascii="Times New Roman" w:hAnsi="Times New Roman"/>
          <w:sz w:val="24"/>
          <w:szCs w:val="24"/>
          <w:lang w:val="nl-NL"/>
        </w:rPr>
        <w:t xml:space="preserve"> đóng cửa VN Index ngày 31/03/2021 đạt 1191</w:t>
      </w:r>
      <w:r w:rsidR="00690CD3">
        <w:rPr>
          <w:rFonts w:ascii="Times New Roman" w:hAnsi="Times New Roman"/>
          <w:sz w:val="24"/>
          <w:szCs w:val="24"/>
          <w:lang w:val="nl-NL"/>
        </w:rPr>
        <w:t>,</w:t>
      </w:r>
      <w:r>
        <w:rPr>
          <w:rFonts w:ascii="Times New Roman" w:hAnsi="Times New Roman"/>
          <w:sz w:val="24"/>
          <w:szCs w:val="24"/>
          <w:lang w:val="nl-NL"/>
        </w:rPr>
        <w:t>4 điểm và nhiều thời điểm trong quý đã tiệm cận với mức kỷ lục 1200 điểm của thị trường</w:t>
      </w:r>
      <w:r w:rsidR="00690CD3">
        <w:rPr>
          <w:rFonts w:ascii="Times New Roman" w:hAnsi="Times New Roman"/>
          <w:sz w:val="24"/>
          <w:szCs w:val="24"/>
          <w:lang w:val="nl-NL"/>
        </w:rPr>
        <w:t>,</w:t>
      </w:r>
      <w:r>
        <w:rPr>
          <w:rFonts w:ascii="Times New Roman" w:hAnsi="Times New Roman"/>
          <w:sz w:val="24"/>
          <w:szCs w:val="24"/>
          <w:lang w:val="nl-NL"/>
        </w:rPr>
        <w:t xml:space="preserve"> Thanh khoản của thị trường chứng khoán đã tăng trưởng vượt bậc</w:t>
      </w:r>
      <w:r w:rsidR="00690CD3">
        <w:rPr>
          <w:rFonts w:ascii="Times New Roman" w:hAnsi="Times New Roman"/>
          <w:sz w:val="24"/>
          <w:szCs w:val="24"/>
          <w:lang w:val="nl-NL"/>
        </w:rPr>
        <w:t>,</w:t>
      </w:r>
      <w:r>
        <w:rPr>
          <w:rFonts w:ascii="Times New Roman" w:hAnsi="Times New Roman"/>
          <w:sz w:val="24"/>
          <w:szCs w:val="24"/>
          <w:lang w:val="nl-NL"/>
        </w:rPr>
        <w:t xml:space="preserve"> vượt qua các thị trường khác trong khu vực như Malaysia</w:t>
      </w:r>
      <w:r w:rsidR="00690CD3">
        <w:rPr>
          <w:rFonts w:ascii="Times New Roman" w:hAnsi="Times New Roman"/>
          <w:sz w:val="24"/>
          <w:szCs w:val="24"/>
          <w:lang w:val="nl-NL"/>
        </w:rPr>
        <w:t>,</w:t>
      </w:r>
      <w:r>
        <w:rPr>
          <w:rFonts w:ascii="Times New Roman" w:hAnsi="Times New Roman"/>
          <w:sz w:val="24"/>
          <w:szCs w:val="24"/>
          <w:lang w:val="nl-NL"/>
        </w:rPr>
        <w:t xml:space="preserve"> Philippin</w:t>
      </w:r>
      <w:r w:rsidR="00690CD3">
        <w:rPr>
          <w:rFonts w:ascii="Times New Roman" w:hAnsi="Times New Roman"/>
          <w:sz w:val="24"/>
          <w:szCs w:val="24"/>
          <w:lang w:val="nl-NL"/>
        </w:rPr>
        <w:t>,</w:t>
      </w:r>
      <w:r>
        <w:rPr>
          <w:rFonts w:ascii="Times New Roman" w:hAnsi="Times New Roman"/>
          <w:sz w:val="24"/>
          <w:szCs w:val="24"/>
          <w:lang w:val="nl-NL"/>
        </w:rPr>
        <w:t xml:space="preserve"> Đồng thời điểm tích cực của thị trường chứng khoán Việt Nam trong thời gian qua là đã thu hút được dòng vốn đầu tư trong nước</w:t>
      </w:r>
      <w:r w:rsidR="00690CD3">
        <w:rPr>
          <w:rFonts w:ascii="Times New Roman" w:hAnsi="Times New Roman"/>
          <w:sz w:val="24"/>
          <w:szCs w:val="24"/>
          <w:lang w:val="nl-NL"/>
        </w:rPr>
        <w:t>,</w:t>
      </w:r>
      <w:r>
        <w:rPr>
          <w:rFonts w:ascii="Times New Roman" w:hAnsi="Times New Roman"/>
          <w:sz w:val="24"/>
          <w:szCs w:val="24"/>
          <w:lang w:val="nl-NL"/>
        </w:rPr>
        <w:t xml:space="preserve"> do đó mặc dù nhà đầu tư nước ngoài liên tục bán ròng nhưng thị trường vẫn tăng trưởng ấn tượng</w:t>
      </w:r>
      <w:r w:rsidR="00690CD3">
        <w:rPr>
          <w:rFonts w:ascii="Times New Roman" w:hAnsi="Times New Roman"/>
          <w:sz w:val="24"/>
          <w:szCs w:val="24"/>
          <w:lang w:val="nl-NL"/>
        </w:rPr>
        <w:t>,</w:t>
      </w:r>
      <w:r>
        <w:rPr>
          <w:rFonts w:ascii="Times New Roman" w:hAnsi="Times New Roman"/>
          <w:sz w:val="24"/>
          <w:szCs w:val="24"/>
          <w:lang w:val="nl-NL"/>
        </w:rPr>
        <w:t xml:space="preserve"> Đối với dòng vốn ngoại</w:t>
      </w:r>
      <w:r w:rsidR="00690CD3">
        <w:rPr>
          <w:rFonts w:ascii="Times New Roman" w:hAnsi="Times New Roman"/>
          <w:sz w:val="24"/>
          <w:szCs w:val="24"/>
          <w:lang w:val="nl-NL"/>
        </w:rPr>
        <w:t>,</w:t>
      </w:r>
      <w:r>
        <w:rPr>
          <w:rFonts w:ascii="Times New Roman" w:hAnsi="Times New Roman"/>
          <w:sz w:val="24"/>
          <w:szCs w:val="24"/>
          <w:lang w:val="nl-NL"/>
        </w:rPr>
        <w:t xml:space="preserve"> vẫn có những quỹ đầu tư tham gia vào thị trường Việt Nam thông qua các quỹ ETF</w:t>
      </w:r>
      <w:r w:rsidR="00690CD3">
        <w:rPr>
          <w:rFonts w:ascii="Times New Roman" w:hAnsi="Times New Roman"/>
          <w:sz w:val="24"/>
          <w:szCs w:val="24"/>
          <w:lang w:val="nl-NL"/>
        </w:rPr>
        <w:t>,</w:t>
      </w:r>
      <w:r>
        <w:rPr>
          <w:rFonts w:ascii="Times New Roman" w:hAnsi="Times New Roman"/>
          <w:sz w:val="24"/>
          <w:szCs w:val="24"/>
          <w:lang w:val="nl-NL"/>
        </w:rPr>
        <w:t xml:space="preserve"> đặc biệt là các nhà đầu tư đến từ Đài Loan</w:t>
      </w:r>
      <w:r w:rsidR="00690CD3">
        <w:rPr>
          <w:rFonts w:ascii="Times New Roman" w:hAnsi="Times New Roman"/>
          <w:sz w:val="24"/>
          <w:szCs w:val="24"/>
          <w:lang w:val="nl-NL"/>
        </w:rPr>
        <w:t>,</w:t>
      </w:r>
      <w:r w:rsidRPr="00F14111">
        <w:rPr>
          <w:rFonts w:ascii="Times New Roman" w:hAnsi="Times New Roman"/>
          <w:sz w:val="24"/>
          <w:szCs w:val="24"/>
          <w:lang w:val="nl-NL"/>
        </w:rPr>
        <w:t xml:space="preserve"> </w:t>
      </w:r>
      <w:r>
        <w:rPr>
          <w:rFonts w:ascii="Times New Roman" w:hAnsi="Times New Roman"/>
          <w:sz w:val="24"/>
          <w:szCs w:val="24"/>
          <w:lang w:val="nl-NL"/>
        </w:rPr>
        <w:t>Tuy nhiên trong quý 1/2021 Sở giao dịch chứng khoán Tp</w:t>
      </w:r>
      <w:r w:rsidR="00690CD3">
        <w:rPr>
          <w:rFonts w:ascii="Times New Roman" w:hAnsi="Times New Roman"/>
          <w:sz w:val="24"/>
          <w:szCs w:val="24"/>
          <w:lang w:val="nl-NL"/>
        </w:rPr>
        <w:t>,</w:t>
      </w:r>
      <w:r>
        <w:rPr>
          <w:rFonts w:ascii="Times New Roman" w:hAnsi="Times New Roman"/>
          <w:sz w:val="24"/>
          <w:szCs w:val="24"/>
          <w:lang w:val="nl-NL"/>
        </w:rPr>
        <w:t xml:space="preserve"> Hồ Chí Minh (HOSE) đã gặp phải cố kỹ thuật về giao dịch nên ít nhiều có ảnh hưởng đến thanh khoản của thị trường và tâm lý của nhà đầu tư</w:t>
      </w:r>
      <w:r w:rsidR="00690CD3">
        <w:rPr>
          <w:rFonts w:ascii="Times New Roman" w:hAnsi="Times New Roman"/>
          <w:sz w:val="24"/>
          <w:szCs w:val="24"/>
          <w:lang w:val="nl-NL"/>
        </w:rPr>
        <w:t>,</w:t>
      </w:r>
      <w:r w:rsidRPr="00F14111">
        <w:rPr>
          <w:rFonts w:ascii="Times New Roman" w:hAnsi="Times New Roman"/>
          <w:sz w:val="24"/>
          <w:szCs w:val="24"/>
          <w:lang w:val="nl-NL"/>
        </w:rPr>
        <w:t xml:space="preserve"> </w:t>
      </w:r>
      <w:r>
        <w:rPr>
          <w:rFonts w:ascii="Times New Roman" w:hAnsi="Times New Roman"/>
          <w:sz w:val="24"/>
          <w:szCs w:val="24"/>
          <w:lang w:val="nl-NL"/>
        </w:rPr>
        <w:t>Trong thực tế</w:t>
      </w:r>
      <w:r w:rsidR="00690CD3">
        <w:rPr>
          <w:rFonts w:ascii="Times New Roman" w:hAnsi="Times New Roman"/>
          <w:sz w:val="24"/>
          <w:szCs w:val="24"/>
          <w:lang w:val="nl-NL"/>
        </w:rPr>
        <w:t>,</w:t>
      </w:r>
      <w:r>
        <w:rPr>
          <w:rFonts w:ascii="Times New Roman" w:hAnsi="Times New Roman"/>
          <w:sz w:val="24"/>
          <w:szCs w:val="24"/>
          <w:lang w:val="nl-NL"/>
        </w:rPr>
        <w:t xml:space="preserve"> luôn </w:t>
      </w:r>
      <w:r w:rsidRPr="00F14111">
        <w:rPr>
          <w:rFonts w:ascii="Times New Roman" w:hAnsi="Times New Roman"/>
          <w:sz w:val="24"/>
          <w:szCs w:val="24"/>
          <w:lang w:val="nl-NL"/>
        </w:rPr>
        <w:t xml:space="preserve">có </w:t>
      </w:r>
      <w:r>
        <w:rPr>
          <w:rFonts w:ascii="Times New Roman" w:hAnsi="Times New Roman"/>
          <w:sz w:val="24"/>
          <w:szCs w:val="24"/>
          <w:lang w:val="nl-NL"/>
        </w:rPr>
        <w:t xml:space="preserve">những sự kiện xảy </w:t>
      </w:r>
      <w:r w:rsidRPr="00F14111">
        <w:rPr>
          <w:rFonts w:ascii="Times New Roman" w:hAnsi="Times New Roman"/>
          <w:sz w:val="24"/>
          <w:szCs w:val="24"/>
          <w:lang w:val="nl-NL"/>
        </w:rPr>
        <w:t>ra và ảnh hưởng tiêu cực lên thị trường chứng khoán</w:t>
      </w:r>
      <w:r>
        <w:rPr>
          <w:rFonts w:ascii="Times New Roman" w:hAnsi="Times New Roman"/>
          <w:sz w:val="24"/>
          <w:szCs w:val="24"/>
          <w:lang w:val="nl-NL"/>
        </w:rPr>
        <w:t>;</w:t>
      </w:r>
      <w:r w:rsidRPr="00F14111">
        <w:rPr>
          <w:rFonts w:ascii="Times New Roman" w:hAnsi="Times New Roman"/>
          <w:sz w:val="24"/>
          <w:szCs w:val="24"/>
          <w:lang w:val="nl-NL"/>
        </w:rPr>
        <w:t xml:space="preserve"> tuy nhiên</w:t>
      </w:r>
      <w:r w:rsidR="00690CD3">
        <w:rPr>
          <w:rFonts w:ascii="Times New Roman" w:hAnsi="Times New Roman"/>
          <w:sz w:val="24"/>
          <w:szCs w:val="24"/>
          <w:lang w:val="nl-NL"/>
        </w:rPr>
        <w:t>,</w:t>
      </w:r>
      <w:r w:rsidRPr="00F14111">
        <w:rPr>
          <w:rFonts w:ascii="Times New Roman" w:hAnsi="Times New Roman"/>
          <w:sz w:val="24"/>
          <w:szCs w:val="24"/>
          <w:lang w:val="nl-NL"/>
        </w:rPr>
        <w:t xml:space="preserve"> mức độ ảnh hưởng của các biến cố thường mang tính chất ngắn hạn so với cả quá trình phát triển bền vững lâu dài của nền kinh tế và thị trường chứng khoán</w:t>
      </w:r>
      <w:r w:rsidR="00690CD3">
        <w:rPr>
          <w:rFonts w:ascii="Times New Roman" w:hAnsi="Times New Roman"/>
          <w:sz w:val="24"/>
          <w:szCs w:val="24"/>
          <w:lang w:val="nl-NL"/>
        </w:rPr>
        <w:t>,</w:t>
      </w:r>
      <w:r w:rsidRPr="00F14111">
        <w:rPr>
          <w:rFonts w:ascii="Times New Roman" w:hAnsi="Times New Roman"/>
          <w:sz w:val="24"/>
          <w:szCs w:val="24"/>
          <w:lang w:val="nl-NL"/>
        </w:rPr>
        <w:t xml:space="preserve"> Theo đó</w:t>
      </w:r>
      <w:r w:rsidR="00690CD3">
        <w:rPr>
          <w:rFonts w:ascii="Times New Roman" w:hAnsi="Times New Roman"/>
          <w:sz w:val="24"/>
          <w:szCs w:val="24"/>
          <w:lang w:val="nl-NL"/>
        </w:rPr>
        <w:t>,</w:t>
      </w:r>
      <w:r w:rsidRPr="00F14111">
        <w:rPr>
          <w:rFonts w:ascii="Times New Roman" w:hAnsi="Times New Roman"/>
          <w:sz w:val="24"/>
          <w:szCs w:val="24"/>
          <w:lang w:val="nl-NL"/>
        </w:rPr>
        <w:t xml:space="preserve"> khi dịch Covid-19 bắt đầu </w:t>
      </w:r>
      <w:r>
        <w:rPr>
          <w:rFonts w:ascii="Times New Roman" w:hAnsi="Times New Roman"/>
          <w:sz w:val="24"/>
          <w:szCs w:val="24"/>
          <w:lang w:val="nl-NL"/>
        </w:rPr>
        <w:t>qua đi</w:t>
      </w:r>
      <w:r w:rsidR="00690CD3">
        <w:rPr>
          <w:rFonts w:ascii="Times New Roman" w:hAnsi="Times New Roman"/>
          <w:sz w:val="24"/>
          <w:szCs w:val="24"/>
          <w:lang w:val="nl-NL"/>
        </w:rPr>
        <w:t>,</w:t>
      </w:r>
      <w:r>
        <w:rPr>
          <w:rFonts w:ascii="Times New Roman" w:hAnsi="Times New Roman"/>
          <w:sz w:val="24"/>
          <w:szCs w:val="24"/>
          <w:lang w:val="nl-NL"/>
        </w:rPr>
        <w:t xml:space="preserve"> hệ thống giao dịch HOSE được khắc phục</w:t>
      </w:r>
      <w:r w:rsidR="00690CD3">
        <w:rPr>
          <w:rFonts w:ascii="Times New Roman" w:hAnsi="Times New Roman"/>
          <w:sz w:val="24"/>
          <w:szCs w:val="24"/>
          <w:lang w:val="nl-NL"/>
        </w:rPr>
        <w:t>,</w:t>
      </w:r>
      <w:r w:rsidRPr="00F14111">
        <w:rPr>
          <w:rFonts w:ascii="Times New Roman" w:hAnsi="Times New Roman"/>
          <w:sz w:val="24"/>
          <w:szCs w:val="24"/>
          <w:lang w:val="nl-NL"/>
        </w:rPr>
        <w:t xml:space="preserve"> </w:t>
      </w:r>
      <w:r>
        <w:rPr>
          <w:rFonts w:ascii="Times New Roman" w:hAnsi="Times New Roman"/>
          <w:sz w:val="24"/>
          <w:szCs w:val="24"/>
          <w:lang w:val="nl-NL"/>
        </w:rPr>
        <w:t>hoạt động của doanh nghiệp hồi phục và tăng trưởng trở lại</w:t>
      </w:r>
      <w:r w:rsidR="00690CD3">
        <w:rPr>
          <w:rFonts w:ascii="Times New Roman" w:hAnsi="Times New Roman"/>
          <w:sz w:val="24"/>
          <w:szCs w:val="24"/>
          <w:lang w:val="nl-NL"/>
        </w:rPr>
        <w:t>,</w:t>
      </w:r>
      <w:r w:rsidRPr="00F14111">
        <w:rPr>
          <w:rFonts w:ascii="Times New Roman" w:hAnsi="Times New Roman"/>
          <w:sz w:val="24"/>
          <w:szCs w:val="24"/>
          <w:lang w:val="nl-NL"/>
        </w:rPr>
        <w:t xml:space="preserve"> nhiều giải pháp được Chính Phủ thực thi</w:t>
      </w:r>
      <w:r w:rsidR="00690CD3">
        <w:rPr>
          <w:rFonts w:ascii="Times New Roman" w:hAnsi="Times New Roman"/>
          <w:sz w:val="24"/>
          <w:szCs w:val="24"/>
          <w:lang w:val="nl-NL"/>
        </w:rPr>
        <w:t>,</w:t>
      </w:r>
      <w:r w:rsidRPr="00F14111">
        <w:rPr>
          <w:rFonts w:ascii="Times New Roman" w:hAnsi="Times New Roman"/>
          <w:sz w:val="24"/>
          <w:szCs w:val="24"/>
          <w:lang w:val="nl-NL"/>
        </w:rPr>
        <w:t xml:space="preserve"> niềm tin của nhà đầu tư trở lại thì thị trường chứng khoán sẽ nhanh chóng phục hồi và tăng trưởng trong dài hạn</w:t>
      </w:r>
      <w:r w:rsidR="00690CD3">
        <w:rPr>
          <w:rFonts w:ascii="Times New Roman" w:hAnsi="Times New Roman"/>
          <w:sz w:val="24"/>
          <w:szCs w:val="24"/>
          <w:lang w:val="nl-NL"/>
        </w:rPr>
        <w:t>,</w:t>
      </w:r>
      <w:r w:rsidRPr="00F14111">
        <w:rPr>
          <w:rFonts w:ascii="Times New Roman" w:hAnsi="Times New Roman"/>
          <w:sz w:val="24"/>
          <w:szCs w:val="24"/>
          <w:lang w:val="nl-NL"/>
        </w:rPr>
        <w:t xml:space="preserve"> </w:t>
      </w:r>
    </w:p>
    <w:p w14:paraId="4E279123" w14:textId="5EACE2F6" w:rsidR="00F075DE" w:rsidRPr="00F14111" w:rsidRDefault="00F075DE" w:rsidP="00F075DE">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lastRenderedPageBreak/>
        <w:t>Theo đánh giá của nhiều chuyên gia kinh tế và đầu tư cả trong và ngoài nước</w:t>
      </w:r>
      <w:r w:rsidR="00690CD3">
        <w:rPr>
          <w:rFonts w:ascii="Times New Roman" w:hAnsi="Times New Roman"/>
          <w:sz w:val="24"/>
          <w:szCs w:val="24"/>
          <w:lang w:val="nl-NL"/>
        </w:rPr>
        <w:t>,</w:t>
      </w:r>
      <w:r w:rsidRPr="00F14111">
        <w:rPr>
          <w:rFonts w:ascii="Times New Roman" w:hAnsi="Times New Roman"/>
          <w:sz w:val="24"/>
          <w:szCs w:val="24"/>
          <w:lang w:val="nl-NL"/>
        </w:rPr>
        <w:t xml:space="preserve"> Thị trường Chứng khoán Việt Nam vẫn là một kênh đầu tư hấp dẫn cho các Nhà đầu tư nước ngoài và trở thành một nguồn cung cấp tài chính thực sự cho nền kinh tế</w:t>
      </w:r>
      <w:r w:rsidR="00690CD3">
        <w:rPr>
          <w:rFonts w:ascii="Times New Roman" w:hAnsi="Times New Roman"/>
          <w:sz w:val="24"/>
          <w:szCs w:val="24"/>
          <w:lang w:val="nl-NL"/>
        </w:rPr>
        <w:t>,</w:t>
      </w:r>
      <w:r w:rsidRPr="00F14111">
        <w:rPr>
          <w:rFonts w:ascii="Times New Roman" w:hAnsi="Times New Roman"/>
          <w:sz w:val="24"/>
          <w:szCs w:val="24"/>
          <w:lang w:val="nl-NL"/>
        </w:rPr>
        <w:t xml:space="preserve"> Một số điểm cốt lõi giúp củng cố xu hướng </w:t>
      </w:r>
      <w:r>
        <w:rPr>
          <w:rFonts w:ascii="Times New Roman" w:hAnsi="Times New Roman"/>
          <w:sz w:val="24"/>
          <w:szCs w:val="24"/>
          <w:lang w:val="nl-NL"/>
        </w:rPr>
        <w:t>tăng trưởng</w:t>
      </w:r>
      <w:r w:rsidRPr="00F14111">
        <w:rPr>
          <w:rFonts w:ascii="Times New Roman" w:hAnsi="Times New Roman"/>
          <w:sz w:val="24"/>
          <w:szCs w:val="24"/>
          <w:lang w:val="nl-NL"/>
        </w:rPr>
        <w:t xml:space="preserve"> trong dài hạn cho Thị trường Chứng khoán Việt Nam như sau:</w:t>
      </w:r>
    </w:p>
    <w:p w14:paraId="5EF7C447" w14:textId="7F78541B" w:rsidR="00F075DE" w:rsidRPr="00F14111" w:rsidRDefault="00F075DE" w:rsidP="00F075DE">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F14111">
        <w:rPr>
          <w:rFonts w:ascii="Times New Roman" w:hAnsi="Times New Roman"/>
          <w:sz w:val="24"/>
          <w:szCs w:val="24"/>
          <w:lang w:val="nl-NL"/>
        </w:rPr>
        <w:t>Với môi trường kinh tế vĩ mô: Việt Nam được đánh giá phát triển ổn định thể hiện qua các tiêu chí như tăng trưởng GDP</w:t>
      </w:r>
      <w:r w:rsidR="00690CD3">
        <w:rPr>
          <w:rFonts w:ascii="Times New Roman" w:hAnsi="Times New Roman"/>
          <w:sz w:val="24"/>
          <w:szCs w:val="24"/>
          <w:lang w:val="nl-NL"/>
        </w:rPr>
        <w:t>,</w:t>
      </w:r>
      <w:r w:rsidRPr="00F14111">
        <w:rPr>
          <w:rFonts w:ascii="Times New Roman" w:hAnsi="Times New Roman"/>
          <w:sz w:val="24"/>
          <w:szCs w:val="24"/>
          <w:lang w:val="nl-NL"/>
        </w:rPr>
        <w:t xml:space="preserve"> tín dụng</w:t>
      </w:r>
      <w:r w:rsidR="00690CD3">
        <w:rPr>
          <w:rFonts w:ascii="Times New Roman" w:hAnsi="Times New Roman"/>
          <w:sz w:val="24"/>
          <w:szCs w:val="24"/>
          <w:lang w:val="nl-NL"/>
        </w:rPr>
        <w:t>,</w:t>
      </w:r>
      <w:r w:rsidRPr="00F14111">
        <w:rPr>
          <w:rFonts w:ascii="Times New Roman" w:hAnsi="Times New Roman"/>
          <w:sz w:val="24"/>
          <w:szCs w:val="24"/>
          <w:lang w:val="nl-NL"/>
        </w:rPr>
        <w:t xml:space="preserve"> lãi suất</w:t>
      </w:r>
      <w:r w:rsidR="00690CD3">
        <w:rPr>
          <w:rFonts w:ascii="Times New Roman" w:hAnsi="Times New Roman"/>
          <w:sz w:val="24"/>
          <w:szCs w:val="24"/>
          <w:lang w:val="nl-NL"/>
        </w:rPr>
        <w:t>,</w:t>
      </w:r>
      <w:r w:rsidRPr="00F14111">
        <w:rPr>
          <w:rFonts w:ascii="Times New Roman" w:hAnsi="Times New Roman"/>
          <w:sz w:val="24"/>
          <w:szCs w:val="24"/>
          <w:lang w:val="nl-NL"/>
        </w:rPr>
        <w:t xml:space="preserve"> lạm phát</w:t>
      </w:r>
      <w:r w:rsidR="00690CD3">
        <w:rPr>
          <w:rFonts w:ascii="Times New Roman" w:hAnsi="Times New Roman"/>
          <w:sz w:val="24"/>
          <w:szCs w:val="24"/>
          <w:lang w:val="nl-NL"/>
        </w:rPr>
        <w:t>,</w:t>
      </w:r>
      <w:r w:rsidRPr="00F14111">
        <w:rPr>
          <w:rFonts w:ascii="Times New Roman" w:hAnsi="Times New Roman"/>
          <w:sz w:val="24"/>
          <w:szCs w:val="24"/>
          <w:lang w:val="nl-NL"/>
        </w:rPr>
        <w:t xml:space="preserve"> tỷ giá</w:t>
      </w:r>
      <w:r w:rsidR="00690CD3">
        <w:rPr>
          <w:rFonts w:ascii="Times New Roman" w:hAnsi="Times New Roman"/>
          <w:sz w:val="24"/>
          <w:szCs w:val="24"/>
          <w:lang w:val="nl-NL"/>
        </w:rPr>
        <w:t>,</w:t>
      </w:r>
      <w:r w:rsidRPr="00F14111">
        <w:rPr>
          <w:rFonts w:ascii="Times New Roman" w:hAnsi="Times New Roman"/>
          <w:sz w:val="24"/>
          <w:szCs w:val="24"/>
          <w:lang w:val="nl-NL"/>
        </w:rPr>
        <w:t xml:space="preserve"> tình hình thu hút FDI</w:t>
      </w:r>
      <w:r w:rsidR="00690CD3">
        <w:rPr>
          <w:rFonts w:ascii="Times New Roman" w:hAnsi="Times New Roman"/>
          <w:sz w:val="24"/>
          <w:szCs w:val="24"/>
          <w:lang w:val="nl-NL"/>
        </w:rPr>
        <w:t>,</w:t>
      </w:r>
      <w:r w:rsidRPr="00F14111">
        <w:rPr>
          <w:rFonts w:ascii="Times New Roman" w:hAnsi="Times New Roman"/>
          <w:sz w:val="24"/>
          <w:szCs w:val="24"/>
          <w:lang w:val="nl-NL"/>
        </w:rPr>
        <w:t xml:space="preserve"> chỉ số PMI</w:t>
      </w:r>
      <w:r w:rsidR="00690CD3">
        <w:rPr>
          <w:rFonts w:ascii="Times New Roman" w:hAnsi="Times New Roman"/>
          <w:sz w:val="24"/>
          <w:szCs w:val="24"/>
          <w:lang w:val="nl-NL"/>
        </w:rPr>
        <w:t>,,,</w:t>
      </w:r>
      <w:r w:rsidRPr="00F14111">
        <w:rPr>
          <w:rFonts w:ascii="Times New Roman" w:hAnsi="Times New Roman"/>
          <w:sz w:val="24"/>
          <w:szCs w:val="24"/>
          <w:lang w:val="nl-NL"/>
        </w:rPr>
        <w:t xml:space="preserve"> như đã phân tích ở trên</w:t>
      </w:r>
      <w:r w:rsidR="00690CD3">
        <w:rPr>
          <w:rFonts w:ascii="Times New Roman" w:hAnsi="Times New Roman"/>
          <w:sz w:val="24"/>
          <w:szCs w:val="24"/>
          <w:lang w:val="nl-NL"/>
        </w:rPr>
        <w:t>,</w:t>
      </w:r>
      <w:r w:rsidRPr="00F14111">
        <w:rPr>
          <w:rFonts w:ascii="Times New Roman" w:hAnsi="Times New Roman"/>
          <w:sz w:val="24"/>
          <w:szCs w:val="24"/>
          <w:lang w:val="nl-NL"/>
        </w:rPr>
        <w:t xml:space="preserve"> Như vậy</w:t>
      </w:r>
      <w:r w:rsidR="00690CD3">
        <w:rPr>
          <w:rFonts w:ascii="Times New Roman" w:hAnsi="Times New Roman"/>
          <w:sz w:val="24"/>
          <w:szCs w:val="24"/>
          <w:lang w:val="nl-NL"/>
        </w:rPr>
        <w:t>,</w:t>
      </w:r>
      <w:r w:rsidRPr="00F14111">
        <w:rPr>
          <w:rFonts w:ascii="Times New Roman" w:hAnsi="Times New Roman"/>
          <w:sz w:val="24"/>
          <w:szCs w:val="24"/>
          <w:lang w:val="nl-NL"/>
        </w:rPr>
        <w:t xml:space="preserve"> nền kinh tế Việt Nam đang tiếp tục bước vào giai đoạn phát triển với một chu kỳ phát triển kinh tế mới</w:t>
      </w:r>
      <w:r w:rsidR="00690CD3">
        <w:rPr>
          <w:rFonts w:ascii="Times New Roman" w:hAnsi="Times New Roman"/>
          <w:sz w:val="24"/>
          <w:szCs w:val="24"/>
          <w:lang w:val="nl-NL"/>
        </w:rPr>
        <w:t>,</w:t>
      </w:r>
    </w:p>
    <w:p w14:paraId="6231CC74" w14:textId="1C590AF6" w:rsidR="00F075DE" w:rsidRPr="00F14111" w:rsidRDefault="00F075DE" w:rsidP="00F075DE">
      <w:pPr>
        <w:pStyle w:val="ListParagraph"/>
        <w:widowControl w:val="0"/>
        <w:numPr>
          <w:ilvl w:val="0"/>
          <w:numId w:val="9"/>
        </w:numPr>
        <w:spacing w:before="100" w:after="120" w:line="288" w:lineRule="auto"/>
        <w:ind w:left="432" w:hanging="432"/>
        <w:contextualSpacing w:val="0"/>
        <w:jc w:val="both"/>
        <w:rPr>
          <w:rFonts w:ascii="Times New Roman" w:hAnsi="Times New Roman"/>
          <w:sz w:val="24"/>
          <w:szCs w:val="24"/>
          <w:lang w:val="nl-NL"/>
        </w:rPr>
      </w:pPr>
      <w:r w:rsidRPr="00F14111">
        <w:rPr>
          <w:rFonts w:ascii="Times New Roman" w:hAnsi="Times New Roman"/>
          <w:sz w:val="24"/>
          <w:szCs w:val="24"/>
          <w:lang w:val="nl-NL"/>
        </w:rPr>
        <w:t>Về đánh giá Thị trường Chứng khoán: với định giá hợp lý và mức sinh lời hấp dẫn hơn so với các thị trường trong khu vực (mức giá trên thu nhập cổ phiếu PER hợp lý trong khi mức sinh lời trên vốn chủ sở hữu ROE</w:t>
      </w:r>
      <w:r w:rsidR="00690CD3">
        <w:rPr>
          <w:rFonts w:ascii="Times New Roman" w:hAnsi="Times New Roman"/>
          <w:sz w:val="24"/>
          <w:szCs w:val="24"/>
          <w:lang w:val="nl-NL"/>
        </w:rPr>
        <w:t>,</w:t>
      </w:r>
      <w:r w:rsidRPr="00F14111">
        <w:rPr>
          <w:rFonts w:ascii="Times New Roman" w:hAnsi="Times New Roman"/>
          <w:sz w:val="24"/>
          <w:szCs w:val="24"/>
          <w:lang w:val="nl-NL"/>
        </w:rPr>
        <w:t xml:space="preserve"> ROA khá cao)</w:t>
      </w:r>
      <w:r w:rsidR="00690CD3">
        <w:rPr>
          <w:rFonts w:ascii="Times New Roman" w:hAnsi="Times New Roman"/>
          <w:sz w:val="24"/>
          <w:szCs w:val="24"/>
          <w:lang w:val="nl-NL"/>
        </w:rPr>
        <w:t>,</w:t>
      </w:r>
      <w:r w:rsidRPr="00F14111">
        <w:rPr>
          <w:rFonts w:ascii="Times New Roman" w:hAnsi="Times New Roman"/>
          <w:sz w:val="24"/>
          <w:szCs w:val="24"/>
          <w:lang w:val="nl-NL"/>
        </w:rPr>
        <w:t xml:space="preserve"> Điều này đã được chứng minh một phần qua mức độ tăng trưởng mạnh mẽ của Thị trường Chứng khoán thể hiện qua các chỉ số như giá trị mua ròng mạnh mẽ của Nhà đầu tư nước ngoài vào cổ phiếu niêm yết trong những năm 2017-2019</w:t>
      </w:r>
      <w:r w:rsidR="00690CD3">
        <w:rPr>
          <w:rFonts w:ascii="Times New Roman" w:hAnsi="Times New Roman"/>
          <w:sz w:val="24"/>
          <w:szCs w:val="24"/>
          <w:lang w:val="nl-NL"/>
        </w:rPr>
        <w:t>,</w:t>
      </w:r>
    </w:p>
    <w:p w14:paraId="2B7D773A" w14:textId="6B5B40A3" w:rsidR="00F075DE" w:rsidRPr="00F14111" w:rsidRDefault="00F075DE" w:rsidP="00690CD3">
      <w:pPr>
        <w:widowControl w:val="0"/>
        <w:spacing w:before="100" w:after="120" w:line="288" w:lineRule="auto"/>
        <w:jc w:val="both"/>
        <w:rPr>
          <w:rFonts w:ascii="Times New Roman" w:hAnsi="Times New Roman"/>
          <w:sz w:val="24"/>
          <w:szCs w:val="24"/>
          <w:lang w:val="nl-NL"/>
        </w:rPr>
      </w:pPr>
      <w:r w:rsidRPr="00F14111">
        <w:rPr>
          <w:rFonts w:ascii="Times New Roman" w:hAnsi="Times New Roman"/>
          <w:sz w:val="24"/>
          <w:szCs w:val="24"/>
          <w:lang w:val="nl-NL"/>
        </w:rPr>
        <w:t>Ngoài ra</w:t>
      </w:r>
      <w:r w:rsidR="00690CD3">
        <w:rPr>
          <w:rFonts w:ascii="Times New Roman" w:hAnsi="Times New Roman"/>
          <w:sz w:val="24"/>
          <w:szCs w:val="24"/>
          <w:lang w:val="nl-NL"/>
        </w:rPr>
        <w:t>,</w:t>
      </w:r>
      <w:r w:rsidRPr="00F14111">
        <w:rPr>
          <w:rFonts w:ascii="Times New Roman" w:hAnsi="Times New Roman"/>
          <w:sz w:val="24"/>
          <w:szCs w:val="24"/>
          <w:lang w:val="nl-NL"/>
        </w:rPr>
        <w:t xml:space="preserve"> các yếu tố mang tính sự kiện</w:t>
      </w:r>
      <w:r w:rsidR="00690CD3">
        <w:rPr>
          <w:rFonts w:ascii="Times New Roman" w:hAnsi="Times New Roman"/>
          <w:sz w:val="24"/>
          <w:szCs w:val="24"/>
          <w:lang w:val="nl-NL"/>
        </w:rPr>
        <w:t>,</w:t>
      </w:r>
      <w:r w:rsidRPr="00F14111">
        <w:rPr>
          <w:rFonts w:ascii="Times New Roman" w:hAnsi="Times New Roman"/>
          <w:sz w:val="24"/>
          <w:szCs w:val="24"/>
          <w:lang w:val="nl-NL"/>
        </w:rPr>
        <w:t xml:space="preserve"> xúc tác tạo động lực tăng trưởng cho Thị trường Chứng khoán như (i) việc nới room cho Nhà đầu tư nước ngoài; (ii) thúc đẩy cổ phần hóa và niêm yết Doanh nghiệp Nhà nước và việc niêm yết cổ phiếu của các ngân hàng trước năm 2020</w:t>
      </w:r>
      <w:r w:rsidR="00690CD3">
        <w:rPr>
          <w:rFonts w:ascii="Times New Roman" w:hAnsi="Times New Roman"/>
          <w:sz w:val="24"/>
          <w:szCs w:val="24"/>
          <w:lang w:val="nl-NL"/>
        </w:rPr>
        <w:t>,</w:t>
      </w:r>
      <w:r w:rsidRPr="00F14111">
        <w:rPr>
          <w:rFonts w:ascii="Times New Roman" w:hAnsi="Times New Roman"/>
          <w:sz w:val="24"/>
          <w:szCs w:val="24"/>
          <w:lang w:val="nl-NL"/>
        </w:rPr>
        <w:t xml:space="preserve"> Đẩy mạnh giải ngân đầu tư công từ giai đoạn năm 2020; (iii) triển vọng nâng hạng Thị trường Việt Nam (FTSE Russel và MSCI Emerging Market); (iv) tích cực đẩy mạnh tham gia các hiệp định thương mại tự do (FTAs); (v) Dòng vốn đầu tư FDI dịch chuyển</w:t>
      </w:r>
      <w:r>
        <w:rPr>
          <w:rFonts w:ascii="Times New Roman" w:hAnsi="Times New Roman"/>
          <w:sz w:val="24"/>
          <w:szCs w:val="24"/>
          <w:lang w:val="nl-NL"/>
        </w:rPr>
        <w:t xml:space="preserve"> theo cơ cấu</w:t>
      </w:r>
      <w:r w:rsidRPr="00F14111">
        <w:rPr>
          <w:rFonts w:ascii="Times New Roman" w:hAnsi="Times New Roman"/>
          <w:sz w:val="24"/>
          <w:szCs w:val="24"/>
          <w:lang w:val="nl-NL"/>
        </w:rPr>
        <w:t xml:space="preserve"> sang Việt nam từ các nước lân cận; (vi) thu hút vốn đầu tư vào thị trường chứng khoán thông qua các sản phẩm như quỹ chỉ số</w:t>
      </w:r>
      <w:r w:rsidR="00690CD3">
        <w:rPr>
          <w:rFonts w:ascii="Times New Roman" w:hAnsi="Times New Roman"/>
          <w:sz w:val="24"/>
          <w:szCs w:val="24"/>
          <w:lang w:val="nl-NL"/>
        </w:rPr>
        <w:t>,</w:t>
      </w:r>
      <w:r w:rsidRPr="00F14111">
        <w:rPr>
          <w:rFonts w:ascii="Times New Roman" w:hAnsi="Times New Roman"/>
          <w:sz w:val="24"/>
          <w:szCs w:val="24"/>
          <w:lang w:val="nl-NL"/>
        </w:rPr>
        <w:t xml:space="preserve"> hợp đồng tương lai</w:t>
      </w:r>
      <w:r w:rsidR="00690CD3">
        <w:rPr>
          <w:rFonts w:ascii="Times New Roman" w:hAnsi="Times New Roman"/>
          <w:sz w:val="24"/>
          <w:szCs w:val="24"/>
          <w:lang w:val="nl-NL"/>
        </w:rPr>
        <w:t>,</w:t>
      </w:r>
      <w:r w:rsidRPr="00F14111">
        <w:rPr>
          <w:rFonts w:ascii="Times New Roman" w:hAnsi="Times New Roman"/>
          <w:sz w:val="24"/>
          <w:szCs w:val="24"/>
          <w:lang w:val="nl-NL"/>
        </w:rPr>
        <w:t xml:space="preserve"> quyền chọn và Luật chứng khoán mới hiệu lực từ tháng 01 năm 2021</w:t>
      </w:r>
      <w:r w:rsidR="00690CD3">
        <w:rPr>
          <w:rFonts w:ascii="Times New Roman" w:hAnsi="Times New Roman"/>
          <w:sz w:val="24"/>
          <w:szCs w:val="24"/>
          <w:lang w:val="nl-NL"/>
        </w:rPr>
        <w:t>,</w:t>
      </w:r>
      <w:r w:rsidRPr="00F14111">
        <w:rPr>
          <w:rFonts w:ascii="Times New Roman" w:hAnsi="Times New Roman"/>
          <w:sz w:val="24"/>
          <w:szCs w:val="24"/>
          <w:lang w:val="nl-NL"/>
        </w:rPr>
        <w:t xml:space="preserve"> Bên cạnh đó</w:t>
      </w:r>
      <w:r w:rsidR="00690CD3">
        <w:rPr>
          <w:rFonts w:ascii="Times New Roman" w:hAnsi="Times New Roman"/>
          <w:sz w:val="24"/>
          <w:szCs w:val="24"/>
          <w:lang w:val="nl-NL"/>
        </w:rPr>
        <w:t>,</w:t>
      </w:r>
      <w:r w:rsidRPr="00F14111">
        <w:rPr>
          <w:rFonts w:ascii="Times New Roman" w:hAnsi="Times New Roman"/>
          <w:sz w:val="24"/>
          <w:szCs w:val="24"/>
          <w:lang w:val="nl-NL"/>
        </w:rPr>
        <w:t xml:space="preserve"> những rủi ro về tình hình dịch Covid-19 có ảnh hưởng sâu rộng đến</w:t>
      </w:r>
      <w:r>
        <w:rPr>
          <w:rFonts w:ascii="Times New Roman" w:hAnsi="Times New Roman"/>
          <w:sz w:val="24"/>
          <w:szCs w:val="24"/>
          <w:lang w:val="nl-NL"/>
        </w:rPr>
        <w:t xml:space="preserve"> tình hình</w:t>
      </w:r>
      <w:r w:rsidRPr="00F14111">
        <w:rPr>
          <w:rFonts w:ascii="Times New Roman" w:hAnsi="Times New Roman"/>
          <w:sz w:val="24"/>
          <w:szCs w:val="24"/>
          <w:lang w:val="nl-NL"/>
        </w:rPr>
        <w:t xml:space="preserve"> kinh tế trên toàn thế giới</w:t>
      </w:r>
      <w:r w:rsidR="00690CD3">
        <w:rPr>
          <w:rFonts w:ascii="Times New Roman" w:hAnsi="Times New Roman"/>
          <w:sz w:val="24"/>
          <w:szCs w:val="24"/>
          <w:lang w:val="nl-NL"/>
        </w:rPr>
        <w:t>,</w:t>
      </w:r>
      <w:r w:rsidRPr="00F14111">
        <w:rPr>
          <w:rFonts w:ascii="Times New Roman" w:hAnsi="Times New Roman"/>
          <w:sz w:val="24"/>
          <w:szCs w:val="24"/>
          <w:lang w:val="nl-NL"/>
        </w:rPr>
        <w:t xml:space="preserve"> và còn đó những rủi ro tiềm ẩn cần lưu ý bao gồm </w:t>
      </w:r>
      <w:r>
        <w:rPr>
          <w:rFonts w:ascii="Times New Roman" w:hAnsi="Times New Roman"/>
          <w:sz w:val="24"/>
          <w:szCs w:val="24"/>
          <w:lang w:val="nl-NL"/>
        </w:rPr>
        <w:t>lạm phát và bong bóng tài sản có dấu hiệu được thổi phồng khắp nơi trên thế giới do các chính sách ồ ạt nới lỏng tiền tệ để kích thích kinh tế phục hồi tăng trưởng hậu Covid-19</w:t>
      </w:r>
      <w:r w:rsidR="00690CD3">
        <w:rPr>
          <w:rFonts w:ascii="Times New Roman" w:hAnsi="Times New Roman"/>
          <w:sz w:val="24"/>
          <w:szCs w:val="24"/>
          <w:lang w:val="nl-NL"/>
        </w:rPr>
        <w:t>,</w:t>
      </w:r>
      <w:r w:rsidRPr="00F14111">
        <w:rPr>
          <w:rFonts w:ascii="Times New Roman" w:hAnsi="Times New Roman"/>
          <w:sz w:val="24"/>
          <w:szCs w:val="24"/>
          <w:lang w:val="nl-NL"/>
        </w:rPr>
        <w:t xml:space="preserve"> </w:t>
      </w:r>
      <w:r>
        <w:rPr>
          <w:rFonts w:ascii="Times New Roman" w:hAnsi="Times New Roman"/>
          <w:sz w:val="24"/>
          <w:szCs w:val="24"/>
          <w:lang w:val="nl-NL"/>
        </w:rPr>
        <w:t>ẩn số nợ xấu trong hệ thống ngân hàng sau dich bệnh</w:t>
      </w:r>
      <w:r w:rsidR="00690CD3">
        <w:rPr>
          <w:rFonts w:ascii="Times New Roman" w:hAnsi="Times New Roman"/>
          <w:sz w:val="24"/>
          <w:szCs w:val="24"/>
          <w:lang w:val="nl-NL"/>
        </w:rPr>
        <w:t>,</w:t>
      </w:r>
      <w:r>
        <w:rPr>
          <w:rFonts w:ascii="Times New Roman" w:hAnsi="Times New Roman"/>
          <w:sz w:val="24"/>
          <w:szCs w:val="24"/>
          <w:lang w:val="nl-NL"/>
        </w:rPr>
        <w:t xml:space="preserve"> </w:t>
      </w:r>
      <w:r w:rsidRPr="00F14111">
        <w:rPr>
          <w:rFonts w:ascii="Times New Roman" w:hAnsi="Times New Roman"/>
          <w:sz w:val="24"/>
          <w:szCs w:val="24"/>
          <w:lang w:val="nl-NL"/>
        </w:rPr>
        <w:t xml:space="preserve">tình hình </w:t>
      </w:r>
      <w:r>
        <w:rPr>
          <w:rFonts w:ascii="Times New Roman" w:hAnsi="Times New Roman"/>
          <w:sz w:val="24"/>
          <w:szCs w:val="24"/>
          <w:lang w:val="nl-NL"/>
        </w:rPr>
        <w:t xml:space="preserve">vỡ nợ trái phiếu của </w:t>
      </w:r>
      <w:r w:rsidRPr="00F14111">
        <w:rPr>
          <w:rFonts w:ascii="Times New Roman" w:hAnsi="Times New Roman"/>
          <w:sz w:val="24"/>
          <w:szCs w:val="24"/>
          <w:lang w:val="nl-NL"/>
        </w:rPr>
        <w:t xml:space="preserve">Trung Quốc </w:t>
      </w:r>
      <w:r>
        <w:rPr>
          <w:rFonts w:ascii="Times New Roman" w:hAnsi="Times New Roman"/>
          <w:sz w:val="24"/>
          <w:szCs w:val="24"/>
          <w:lang w:val="nl-NL"/>
        </w:rPr>
        <w:t>tăng mạnh trong các tháng đầu năm 2021</w:t>
      </w:r>
      <w:r w:rsidR="00690CD3">
        <w:rPr>
          <w:rFonts w:ascii="Times New Roman" w:hAnsi="Times New Roman"/>
          <w:sz w:val="24"/>
          <w:szCs w:val="24"/>
          <w:lang w:val="nl-NL"/>
        </w:rPr>
        <w:t>,</w:t>
      </w:r>
      <w:r w:rsidRPr="00F14111">
        <w:rPr>
          <w:rFonts w:ascii="Times New Roman" w:hAnsi="Times New Roman"/>
          <w:sz w:val="24"/>
          <w:szCs w:val="24"/>
          <w:lang w:val="nl-NL"/>
        </w:rPr>
        <w:t xml:space="preserve"> bất ổn </w:t>
      </w:r>
      <w:r>
        <w:rPr>
          <w:rFonts w:ascii="Times New Roman" w:hAnsi="Times New Roman"/>
          <w:sz w:val="24"/>
          <w:szCs w:val="24"/>
          <w:lang w:val="nl-NL"/>
        </w:rPr>
        <w:t>trong thương mại quốc tế vì các lý do kỹ thuật</w:t>
      </w:r>
      <w:r w:rsidR="00690CD3">
        <w:rPr>
          <w:rFonts w:ascii="Times New Roman" w:hAnsi="Times New Roman"/>
          <w:sz w:val="24"/>
          <w:szCs w:val="24"/>
          <w:lang w:val="nl-NL"/>
        </w:rPr>
        <w:t>,</w:t>
      </w:r>
      <w:r w:rsidRPr="00F14111">
        <w:rPr>
          <w:rFonts w:ascii="Times New Roman" w:hAnsi="Times New Roman"/>
          <w:sz w:val="24"/>
          <w:szCs w:val="24"/>
          <w:lang w:val="nl-NL"/>
        </w:rPr>
        <w:t xml:space="preserve"> </w:t>
      </w:r>
      <w:r>
        <w:rPr>
          <w:rFonts w:ascii="Times New Roman" w:hAnsi="Times New Roman"/>
          <w:sz w:val="24"/>
          <w:szCs w:val="24"/>
          <w:lang w:val="nl-NL"/>
        </w:rPr>
        <w:t>cáo buộc thao túng tiền tệ của Mỹ đối với Việt Nam</w:t>
      </w:r>
      <w:r w:rsidRPr="00F14111">
        <w:rPr>
          <w:rFonts w:ascii="Times New Roman" w:hAnsi="Times New Roman"/>
          <w:sz w:val="24"/>
          <w:szCs w:val="24"/>
          <w:lang w:val="nl-NL"/>
        </w:rPr>
        <w:t xml:space="preserve"> ảnh hưởng đến sự ổn định của </w:t>
      </w:r>
      <w:r>
        <w:rPr>
          <w:rFonts w:ascii="Times New Roman" w:hAnsi="Times New Roman"/>
          <w:sz w:val="24"/>
          <w:szCs w:val="24"/>
          <w:lang w:val="nl-NL"/>
        </w:rPr>
        <w:t xml:space="preserve">tỷ giá và </w:t>
      </w:r>
      <w:r w:rsidRPr="00F14111">
        <w:rPr>
          <w:rFonts w:ascii="Times New Roman" w:hAnsi="Times New Roman"/>
          <w:sz w:val="24"/>
          <w:szCs w:val="24"/>
          <w:lang w:val="nl-NL"/>
        </w:rPr>
        <w:t>đồng tiền VNĐ cũng như khả năng gây ra những biến động khó lường của dòng vốn đầu tư gián tiếp nước ngoài vào Thị trường Chứng khoán Việt Nam</w:t>
      </w:r>
      <w:r w:rsidR="00690CD3">
        <w:rPr>
          <w:rFonts w:ascii="Times New Roman" w:hAnsi="Times New Roman"/>
          <w:sz w:val="24"/>
          <w:szCs w:val="24"/>
          <w:lang w:val="nl-NL"/>
        </w:rPr>
        <w:t>,</w:t>
      </w:r>
      <w:r w:rsidRPr="00F14111">
        <w:rPr>
          <w:rFonts w:ascii="Times New Roman" w:hAnsi="Times New Roman"/>
          <w:sz w:val="24"/>
          <w:szCs w:val="24"/>
          <w:lang w:val="nl-NL"/>
        </w:rPr>
        <w:t xml:space="preserve"> </w:t>
      </w:r>
    </w:p>
    <w:p w14:paraId="0753B3EE" w14:textId="0F3EACC5" w:rsidR="00F075DE" w:rsidRPr="00F14111" w:rsidRDefault="00F075DE" w:rsidP="00690CD3">
      <w:pPr>
        <w:widowControl w:val="0"/>
        <w:spacing w:before="100" w:after="120" w:line="288" w:lineRule="auto"/>
        <w:jc w:val="both"/>
        <w:rPr>
          <w:rFonts w:ascii="Times New Roman" w:hAnsi="Times New Roman"/>
          <w:sz w:val="24"/>
          <w:szCs w:val="24"/>
          <w:lang w:val="nl-NL"/>
        </w:rPr>
      </w:pPr>
      <w:r w:rsidRPr="00F14111">
        <w:rPr>
          <w:rFonts w:ascii="Times New Roman" w:hAnsi="Times New Roman"/>
          <w:sz w:val="24"/>
          <w:szCs w:val="24"/>
          <w:lang w:val="nl-NL"/>
        </w:rPr>
        <w:t>Như vậy</w:t>
      </w:r>
      <w:r w:rsidR="00690CD3">
        <w:rPr>
          <w:rFonts w:ascii="Times New Roman" w:hAnsi="Times New Roman"/>
          <w:sz w:val="24"/>
          <w:szCs w:val="24"/>
          <w:lang w:val="nl-NL"/>
        </w:rPr>
        <w:t>,</w:t>
      </w:r>
      <w:r w:rsidRPr="00F14111">
        <w:rPr>
          <w:rFonts w:ascii="Times New Roman" w:hAnsi="Times New Roman"/>
          <w:sz w:val="24"/>
          <w:szCs w:val="24"/>
          <w:lang w:val="nl-NL"/>
        </w:rPr>
        <w:t xml:space="preserve">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w:t>
      </w:r>
      <w:r w:rsidR="00690CD3">
        <w:rPr>
          <w:rFonts w:ascii="Times New Roman" w:hAnsi="Times New Roman"/>
          <w:sz w:val="24"/>
          <w:szCs w:val="24"/>
          <w:lang w:val="nl-NL"/>
        </w:rPr>
        <w:t>,</w:t>
      </w:r>
      <w:r w:rsidRPr="00F14111">
        <w:rPr>
          <w:rFonts w:ascii="Times New Roman" w:hAnsi="Times New Roman"/>
          <w:sz w:val="24"/>
          <w:szCs w:val="24"/>
          <w:lang w:val="nl-NL"/>
        </w:rPr>
        <w:t xml:space="preserve"> tạo tiền đề cho sự phát triển lâu dài trong những năm tiếp theo; và dĩ nhiên bức tranh sáng sủa phải kèm theo những giả định về điều kiện môi trường vĩ mô an toàn</w:t>
      </w:r>
      <w:r w:rsidR="00690CD3">
        <w:rPr>
          <w:rFonts w:ascii="Times New Roman" w:hAnsi="Times New Roman"/>
          <w:sz w:val="24"/>
          <w:szCs w:val="24"/>
          <w:lang w:val="nl-NL"/>
        </w:rPr>
        <w:t>,</w:t>
      </w:r>
      <w:r w:rsidRPr="00F14111">
        <w:rPr>
          <w:rFonts w:ascii="Times New Roman" w:hAnsi="Times New Roman"/>
          <w:sz w:val="24"/>
          <w:szCs w:val="24"/>
          <w:lang w:val="nl-NL"/>
        </w:rPr>
        <w:t xml:space="preserve"> tiếp tục kiềm chế được ảnh hưởng của dịch bệnh và việc triển khai tiêm phòng vacccin Covid-19 diễn ra</w:t>
      </w:r>
      <w:r>
        <w:rPr>
          <w:rFonts w:ascii="Times New Roman" w:hAnsi="Times New Roman"/>
          <w:sz w:val="24"/>
          <w:szCs w:val="24"/>
          <w:lang w:val="nl-NL"/>
        </w:rPr>
        <w:t xml:space="preserve"> thành công</w:t>
      </w:r>
      <w:r w:rsidRPr="00F14111">
        <w:rPr>
          <w:rFonts w:ascii="Times New Roman" w:hAnsi="Times New Roman"/>
          <w:sz w:val="24"/>
          <w:szCs w:val="24"/>
          <w:lang w:val="nl-NL"/>
        </w:rPr>
        <w:t xml:space="preserve"> trong thời gian sớm nhất</w:t>
      </w:r>
      <w:r w:rsidR="00690CD3">
        <w:rPr>
          <w:rFonts w:ascii="Times New Roman" w:hAnsi="Times New Roman"/>
          <w:sz w:val="24"/>
          <w:szCs w:val="24"/>
          <w:lang w:val="nl-NL"/>
        </w:rPr>
        <w:t>,</w:t>
      </w:r>
    </w:p>
    <w:p w14:paraId="0026677A" w14:textId="6F5BC9C9" w:rsidR="00315A8E" w:rsidRDefault="00315A8E" w:rsidP="0083372E">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7D9EC8BE"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90CD3">
        <w:rPr>
          <w:rFonts w:ascii="Times New Roman" w:hAnsi="Times New Roman"/>
          <w:b/>
          <w:sz w:val="24"/>
          <w:szCs w:val="24"/>
          <w:lang w:val="nl-NL"/>
        </w:rPr>
        <w:lastRenderedPageBreak/>
        <w:t>VI</w:t>
      </w:r>
      <w:r w:rsidR="00690CD3">
        <w:rPr>
          <w:rFonts w:ascii="Times New Roman" w:hAnsi="Times New Roman"/>
          <w:b/>
          <w:sz w:val="24"/>
          <w:szCs w:val="24"/>
          <w:lang w:val="nl-NL"/>
        </w:rPr>
        <w:t>.</w:t>
      </w:r>
      <w:r w:rsidRPr="00690CD3">
        <w:rPr>
          <w:rFonts w:ascii="Times New Roman" w:hAnsi="Times New Roman"/>
          <w:b/>
          <w:sz w:val="24"/>
          <w:szCs w:val="24"/>
          <w:lang w:val="nl-NL"/>
        </w:rPr>
        <w:t xml:space="preserve">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3329D6" w:rsidRPr="00A90AB7" w14:paraId="06984D68" w14:textId="77777777" w:rsidTr="0083372E">
        <w:tc>
          <w:tcPr>
            <w:tcW w:w="2970" w:type="dxa"/>
          </w:tcPr>
          <w:p w14:paraId="59BDA825" w14:textId="679091CA"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00690CD3">
              <w:rPr>
                <w:rFonts w:ascii="Times New Roman" w:hAnsi="Times New Roman"/>
                <w:sz w:val="24"/>
                <w:szCs w:val="24"/>
                <w:lang w:val="nl-NL"/>
              </w:rPr>
              <w:t>,</w:t>
            </w:r>
            <w:r w:rsidRPr="00A90AB7">
              <w:rPr>
                <w:rFonts w:ascii="Times New Roman" w:hAnsi="Times New Roman"/>
                <w:sz w:val="24"/>
                <w:szCs w:val="24"/>
                <w:lang w:val="nl-NL"/>
              </w:rPr>
              <w:t xml:space="preserve"> </w:t>
            </w:r>
          </w:p>
          <w:p w14:paraId="5BE86869"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7DFA5D3B"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80E52B8" w14:textId="77777777" w:rsidR="005523A8" w:rsidRPr="00A90AB7" w:rsidRDefault="005523A8" w:rsidP="005523A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8883D5A" w14:textId="18A64C25"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Ngoại thương Tp</w:t>
            </w:r>
            <w:r w:rsidR="00690CD3">
              <w:rPr>
                <w:rFonts w:ascii="Times New Roman" w:hAnsi="Times New Roman"/>
                <w:sz w:val="24"/>
                <w:szCs w:val="24"/>
                <w:lang w:val="nl-NL"/>
              </w:rPr>
              <w:t>,</w:t>
            </w:r>
            <w:r w:rsidRPr="00A90AB7">
              <w:rPr>
                <w:rFonts w:ascii="Times New Roman" w:hAnsi="Times New Roman"/>
                <w:sz w:val="24"/>
                <w:szCs w:val="24"/>
                <w:lang w:val="nl-NL"/>
              </w:rPr>
              <w:t xml:space="preserve"> HCM;</w:t>
            </w:r>
          </w:p>
          <w:p w14:paraId="5DA67DBC" w14:textId="38A6CC8D"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Ngân hàng Tp</w:t>
            </w:r>
            <w:r w:rsidR="00690CD3">
              <w:rPr>
                <w:rFonts w:ascii="Times New Roman" w:hAnsi="Times New Roman"/>
                <w:sz w:val="24"/>
                <w:szCs w:val="24"/>
                <w:lang w:val="nl-NL"/>
              </w:rPr>
              <w:t>,</w:t>
            </w:r>
            <w:r w:rsidRPr="00A90AB7">
              <w:rPr>
                <w:rFonts w:ascii="Times New Roman" w:hAnsi="Times New Roman"/>
                <w:sz w:val="24"/>
                <w:szCs w:val="24"/>
                <w:lang w:val="nl-NL"/>
              </w:rPr>
              <w:t xml:space="preserve"> HCM;</w:t>
            </w:r>
          </w:p>
          <w:p w14:paraId="57327F8B" w14:textId="097DDA63"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w:t>
            </w:r>
            <w:r w:rsidR="00690CD3">
              <w:rPr>
                <w:rFonts w:ascii="Times New Roman" w:hAnsi="Times New Roman"/>
                <w:sz w:val="24"/>
                <w:szCs w:val="24"/>
                <w:lang w:val="nl-NL"/>
              </w:rPr>
              <w:t>,</w:t>
            </w:r>
            <w:r w:rsidRPr="00A90AB7">
              <w:rPr>
                <w:rFonts w:ascii="Times New Roman" w:hAnsi="Times New Roman"/>
                <w:sz w:val="24"/>
                <w:szCs w:val="24"/>
                <w:lang w:val="nl-NL"/>
              </w:rPr>
              <w:t xml:space="preserve"> Chương trình Cao học Kinh tế Phát triển Việt Nam – Hà Lan</w:t>
            </w:r>
            <w:r w:rsidR="00690CD3">
              <w:rPr>
                <w:rFonts w:ascii="Times New Roman" w:hAnsi="Times New Roman"/>
                <w:sz w:val="24"/>
                <w:szCs w:val="24"/>
                <w:lang w:val="nl-NL"/>
              </w:rPr>
              <w:t>,</w:t>
            </w:r>
            <w:r w:rsidRPr="00A90AB7">
              <w:rPr>
                <w:rFonts w:ascii="Times New Roman" w:hAnsi="Times New Roman"/>
                <w:sz w:val="24"/>
                <w:szCs w:val="24"/>
                <w:lang w:val="nl-NL"/>
              </w:rPr>
              <w:t xml:space="preserve"> Tp</w:t>
            </w:r>
            <w:r w:rsidR="00690CD3">
              <w:rPr>
                <w:rFonts w:ascii="Times New Roman" w:hAnsi="Times New Roman"/>
                <w:sz w:val="24"/>
                <w:szCs w:val="24"/>
                <w:lang w:val="nl-NL"/>
              </w:rPr>
              <w:t>,</w:t>
            </w:r>
            <w:r w:rsidRPr="00A90AB7">
              <w:rPr>
                <w:rFonts w:ascii="Times New Roman" w:hAnsi="Times New Roman"/>
                <w:sz w:val="24"/>
                <w:szCs w:val="24"/>
                <w:lang w:val="nl-NL"/>
              </w:rPr>
              <w:t xml:space="preserve"> HCM;</w:t>
            </w:r>
          </w:p>
          <w:p w14:paraId="4753E710" w14:textId="77777777"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78D43C68" w14:textId="77777777"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r>
              <w:rPr>
                <w:rFonts w:ascii="Times New Roman" w:hAnsi="Times New Roman"/>
                <w:sz w:val="24"/>
                <w:szCs w:val="24"/>
                <w:lang w:val="nl-NL"/>
              </w:rPr>
              <w:t xml:space="preserve"> (</w:t>
            </w:r>
            <w:r w:rsidRPr="00943F34">
              <w:rPr>
                <w:rFonts w:ascii="Times New Roman" w:hAnsi="Times New Roman"/>
                <w:sz w:val="24"/>
                <w:szCs w:val="24"/>
                <w:lang w:val="nl-NL"/>
              </w:rPr>
              <w:t>Chartered Market Technician</w:t>
            </w:r>
            <w:r>
              <w:rPr>
                <w:rFonts w:ascii="Times New Roman" w:hAnsi="Times New Roman"/>
                <w:sz w:val="24"/>
                <w:szCs w:val="24"/>
                <w:lang w:val="nl-NL"/>
              </w:rPr>
              <w:t>)</w:t>
            </w:r>
            <w:r w:rsidRPr="00A90AB7">
              <w:rPr>
                <w:rFonts w:ascii="Times New Roman" w:hAnsi="Times New Roman"/>
                <w:sz w:val="24"/>
                <w:szCs w:val="24"/>
                <w:lang w:val="nl-NL"/>
              </w:rPr>
              <w:t>;</w:t>
            </w:r>
          </w:p>
          <w:p w14:paraId="011E5BB2" w14:textId="10D191B9"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690CD3">
              <w:rPr>
                <w:rFonts w:ascii="Times New Roman" w:hAnsi="Times New Roman"/>
                <w:sz w:val="24"/>
                <w:szCs w:val="24"/>
                <w:lang w:val="nl-NL"/>
              </w:rPr>
              <w:t>,</w:t>
            </w:r>
            <w:r w:rsidRPr="00A90AB7">
              <w:rPr>
                <w:rFonts w:ascii="Times New Roman" w:hAnsi="Times New Roman"/>
                <w:sz w:val="24"/>
                <w:szCs w:val="24"/>
                <w:lang w:val="nl-NL"/>
              </w:rPr>
              <w:t xml:space="preserve"> </w:t>
            </w:r>
          </w:p>
          <w:p w14:paraId="04B05D29" w14:textId="77777777" w:rsidR="005523A8" w:rsidRPr="00A90AB7" w:rsidRDefault="005523A8" w:rsidP="005523A8">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7CF2A8C9" w14:textId="5C6722D5" w:rsidR="005523A8" w:rsidRPr="00A90AB7" w:rsidRDefault="005523A8" w:rsidP="005523A8">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hai mươi (20) năm kinh nghiệm trong lĩnh vực đầu tư</w:t>
            </w:r>
            <w:r w:rsidR="00690CD3">
              <w:rPr>
                <w:rFonts w:ascii="Times New Roman" w:hAnsi="Times New Roman"/>
                <w:sz w:val="24"/>
                <w:szCs w:val="24"/>
                <w:lang w:val="nl-NL"/>
              </w:rPr>
              <w:t>,</w:t>
            </w:r>
            <w:r w:rsidRPr="00A90AB7">
              <w:rPr>
                <w:rFonts w:ascii="Times New Roman" w:hAnsi="Times New Roman"/>
                <w:sz w:val="24"/>
                <w:szCs w:val="24"/>
                <w:lang w:val="nl-NL"/>
              </w:rPr>
              <w:t xml:space="preserve"> quản lý quỹ và quản lý danh mục đầu tư</w:t>
            </w:r>
            <w:r w:rsidR="00690CD3">
              <w:rPr>
                <w:rFonts w:ascii="Times New Roman" w:hAnsi="Times New Roman"/>
                <w:sz w:val="24"/>
                <w:szCs w:val="24"/>
                <w:lang w:val="nl-NL"/>
              </w:rPr>
              <w:t>,</w:t>
            </w:r>
            <w:r w:rsidRPr="00A90AB7">
              <w:rPr>
                <w:rFonts w:ascii="Times New Roman" w:hAnsi="Times New Roman"/>
                <w:sz w:val="24"/>
                <w:szCs w:val="24"/>
                <w:lang w:val="nl-NL"/>
              </w:rPr>
              <w:t xml:space="preserve"> Ông đã tham gia hoạt động vào Thị trường Chứng khoán Việt nam từ khi thị trường mới được thành lập</w:t>
            </w:r>
            <w:r w:rsidR="00690CD3">
              <w:rPr>
                <w:rFonts w:ascii="Times New Roman" w:hAnsi="Times New Roman"/>
                <w:sz w:val="24"/>
                <w:szCs w:val="24"/>
                <w:lang w:val="nl-NL"/>
              </w:rPr>
              <w:t>,</w:t>
            </w:r>
            <w:r w:rsidRPr="00A90AB7">
              <w:rPr>
                <w:rFonts w:ascii="Times New Roman" w:hAnsi="Times New Roman"/>
                <w:sz w:val="24"/>
                <w:szCs w:val="24"/>
                <w:lang w:val="nl-NL"/>
              </w:rPr>
              <w:t xml:space="preserve"> </w:t>
            </w:r>
          </w:p>
          <w:p w14:paraId="044229E2" w14:textId="59954394" w:rsidR="005523A8" w:rsidRPr="00A90AB7" w:rsidRDefault="005523A8" w:rsidP="005523A8">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w:t>
            </w:r>
            <w:r w:rsidR="00690CD3">
              <w:rPr>
                <w:rFonts w:ascii="Times New Roman" w:hAnsi="Times New Roman"/>
                <w:sz w:val="24"/>
                <w:szCs w:val="24"/>
                <w:lang w:val="nl-NL"/>
              </w:rPr>
              <w:t>,</w:t>
            </w:r>
            <w:r w:rsidRPr="00A90AB7">
              <w:rPr>
                <w:rFonts w:ascii="Times New Roman" w:hAnsi="Times New Roman"/>
                <w:sz w:val="24"/>
                <w:szCs w:val="24"/>
                <w:lang w:val="nl-NL"/>
              </w:rPr>
              <w:t xml:space="preserve"> ông đã làm việc tại Công ty TNHH Bảo Hiểm Nhân Thọ Dai-ichi Việt Nam với vai trò là Phó Tổng Giám đốc Đầu tư</w:t>
            </w:r>
            <w:r w:rsidR="00690CD3">
              <w:rPr>
                <w:rFonts w:ascii="Times New Roman" w:hAnsi="Times New Roman"/>
                <w:sz w:val="24"/>
                <w:szCs w:val="24"/>
                <w:lang w:val="nl-NL"/>
              </w:rPr>
              <w:t>,</w:t>
            </w:r>
            <w:r w:rsidRPr="00A90AB7">
              <w:rPr>
                <w:rFonts w:ascii="Times New Roman" w:hAnsi="Times New Roman"/>
                <w:sz w:val="24"/>
                <w:szCs w:val="24"/>
                <w:lang w:val="nl-NL"/>
              </w:rPr>
              <w:t xml:space="preserve"> phụ trách các hoạt động đầu tư và quản lý tài sản nợ có từ năm 2011</w:t>
            </w:r>
            <w:r w:rsidR="00690CD3">
              <w:rPr>
                <w:rFonts w:ascii="Times New Roman" w:hAnsi="Times New Roman"/>
                <w:sz w:val="24"/>
                <w:szCs w:val="24"/>
                <w:lang w:val="nl-NL"/>
              </w:rPr>
              <w:t>,</w:t>
            </w:r>
          </w:p>
          <w:p w14:paraId="7FE17026" w14:textId="08F92A4E" w:rsidR="003329D6" w:rsidRPr="00A90AB7" w:rsidRDefault="005523A8" w:rsidP="005523A8">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w:t>
            </w:r>
            <w:r w:rsidR="00690CD3">
              <w:rPr>
                <w:rFonts w:ascii="Times New Roman" w:hAnsi="Times New Roman"/>
                <w:sz w:val="24"/>
                <w:szCs w:val="24"/>
                <w:lang w:val="nl-NL"/>
              </w:rPr>
              <w:t>,</w:t>
            </w:r>
            <w:r w:rsidRPr="00A90AB7">
              <w:rPr>
                <w:rFonts w:ascii="Times New Roman" w:hAnsi="Times New Roman"/>
                <w:sz w:val="24"/>
                <w:szCs w:val="24"/>
                <w:lang w:val="nl-NL"/>
              </w:rPr>
              <w:t xml:space="preserve"> ông Danh từng giữ các vị trí chủ chốt tại các công ty quản lý quỹ trong và ngoài nước</w:t>
            </w:r>
            <w:r w:rsidR="00690CD3">
              <w:rPr>
                <w:rFonts w:ascii="Times New Roman" w:hAnsi="Times New Roman"/>
                <w:sz w:val="24"/>
                <w:szCs w:val="24"/>
                <w:lang w:val="nl-NL"/>
              </w:rPr>
              <w:t>,</w:t>
            </w:r>
            <w:r w:rsidRPr="00A90AB7">
              <w:rPr>
                <w:rFonts w:ascii="Times New Roman" w:hAnsi="Times New Roman"/>
                <w:sz w:val="24"/>
                <w:szCs w:val="24"/>
                <w:lang w:val="nl-NL"/>
              </w:rPr>
              <w:t xml:space="preserve"> đặc biệt ông Danh có hơn bảy (07) năm kinh nghiệm tại Công ty TNHH Quản lý Quỹ Eastspring Investments (trước đó có tên là Prudential)</w:t>
            </w:r>
            <w:r w:rsidR="00690CD3">
              <w:rPr>
                <w:rFonts w:ascii="Times New Roman" w:hAnsi="Times New Roman"/>
                <w:sz w:val="24"/>
                <w:szCs w:val="24"/>
                <w:lang w:val="nl-NL"/>
              </w:rPr>
              <w:t>,</w:t>
            </w:r>
          </w:p>
        </w:tc>
      </w:tr>
      <w:tr w:rsidR="005523A8" w:rsidRPr="00A90AB7" w14:paraId="1AAD9BAC" w14:textId="77777777" w:rsidTr="005E549F">
        <w:tc>
          <w:tcPr>
            <w:tcW w:w="2970" w:type="dxa"/>
          </w:tcPr>
          <w:p w14:paraId="6A541D7C" w14:textId="77777777" w:rsidR="005523A8" w:rsidRPr="00A90AB7" w:rsidRDefault="005523A8" w:rsidP="005523A8">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t xml:space="preserve">Ông </w:t>
            </w:r>
            <w:r w:rsidRPr="00A90AB7">
              <w:rPr>
                <w:rFonts w:ascii="Times New Roman" w:hAnsi="Times New Roman"/>
                <w:b/>
                <w:sz w:val="24"/>
                <w:szCs w:val="24"/>
                <w:lang w:val="nl-NL"/>
              </w:rPr>
              <w:t>Masafumi Takeshita</w:t>
            </w:r>
          </w:p>
          <w:p w14:paraId="3BAE3522" w14:textId="37FC05C0"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62EC4AE0" w14:textId="77777777" w:rsidR="005523A8" w:rsidRPr="00A90AB7" w:rsidRDefault="005523A8" w:rsidP="005523A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1E01608C" w14:textId="4B3C08E2" w:rsidR="005523A8" w:rsidRPr="00A90AB7" w:rsidRDefault="005523A8" w:rsidP="005523A8">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Hitotsubashi</w:t>
            </w:r>
            <w:r w:rsidR="00690CD3">
              <w:rPr>
                <w:rFonts w:ascii="Times New Roman" w:hAnsi="Times New Roman"/>
                <w:sz w:val="24"/>
                <w:szCs w:val="24"/>
                <w:lang w:val="nl-NL"/>
              </w:rPr>
              <w:t>,</w:t>
            </w:r>
            <w:r w:rsidRPr="00A90AB7">
              <w:rPr>
                <w:rFonts w:ascii="Times New Roman" w:hAnsi="Times New Roman"/>
                <w:sz w:val="24"/>
                <w:szCs w:val="24"/>
                <w:lang w:val="nl-NL"/>
              </w:rPr>
              <w:t xml:space="preserve"> Nhật Bản;</w:t>
            </w:r>
          </w:p>
          <w:p w14:paraId="35E1A74A" w14:textId="40C70151" w:rsidR="005523A8" w:rsidRPr="00A90AB7" w:rsidRDefault="005523A8" w:rsidP="005523A8">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w:t>
            </w:r>
            <w:r w:rsidR="00690CD3">
              <w:rPr>
                <w:rFonts w:ascii="Times New Roman" w:hAnsi="Times New Roman"/>
                <w:sz w:val="24"/>
                <w:szCs w:val="24"/>
                <w:lang w:val="nl-NL"/>
              </w:rPr>
              <w:t>,</w:t>
            </w:r>
            <w:r w:rsidRPr="00A90AB7">
              <w:rPr>
                <w:rFonts w:ascii="Times New Roman" w:hAnsi="Times New Roman"/>
                <w:sz w:val="24"/>
                <w:szCs w:val="24"/>
                <w:lang w:val="nl-NL"/>
              </w:rPr>
              <w:t xml:space="preserve"> Hiệp hội phân tích chứng khoán Nhật Bản (SAAJ)</w:t>
            </w:r>
            <w:r w:rsidR="00690CD3">
              <w:rPr>
                <w:rFonts w:ascii="Times New Roman" w:hAnsi="Times New Roman"/>
                <w:sz w:val="24"/>
                <w:szCs w:val="24"/>
                <w:lang w:val="nl-NL"/>
              </w:rPr>
              <w:t>,</w:t>
            </w:r>
          </w:p>
          <w:p w14:paraId="2CDB7FDA" w14:textId="77777777" w:rsidR="005523A8" w:rsidRPr="00A90AB7" w:rsidRDefault="005523A8" w:rsidP="005523A8">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7BC489FC" w14:textId="0889BBB7" w:rsidR="005523A8" w:rsidRPr="00A90AB7" w:rsidRDefault="005523A8" w:rsidP="005523A8">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mười (10) năm kinh nghiệm làm việc và nghiên cứu trong lĩnh vực tài chính</w:t>
            </w:r>
            <w:r w:rsidR="00690CD3">
              <w:rPr>
                <w:rFonts w:ascii="Times New Roman" w:hAnsi="Times New Roman"/>
                <w:sz w:val="24"/>
                <w:szCs w:val="24"/>
                <w:lang w:val="nl-NL"/>
              </w:rPr>
              <w:t>,</w:t>
            </w:r>
            <w:r w:rsidRPr="00A90AB7">
              <w:rPr>
                <w:rFonts w:ascii="Times New Roman" w:hAnsi="Times New Roman"/>
                <w:sz w:val="24"/>
                <w:szCs w:val="24"/>
                <w:lang w:val="nl-NL"/>
              </w:rPr>
              <w:t xml:space="preserve"> bảo hiểm</w:t>
            </w:r>
            <w:r w:rsidR="00690CD3">
              <w:rPr>
                <w:rFonts w:ascii="Times New Roman" w:hAnsi="Times New Roman"/>
                <w:sz w:val="24"/>
                <w:szCs w:val="24"/>
                <w:lang w:val="nl-NL"/>
              </w:rPr>
              <w:t>,</w:t>
            </w:r>
            <w:r w:rsidRPr="00A90AB7">
              <w:rPr>
                <w:rFonts w:ascii="Times New Roman" w:hAnsi="Times New Roman"/>
                <w:sz w:val="24"/>
                <w:szCs w:val="24"/>
                <w:lang w:val="nl-NL"/>
              </w:rPr>
              <w:t xml:space="preserve"> đầu tư ở nước ngoài</w:t>
            </w:r>
            <w:r w:rsidR="00690CD3">
              <w:rPr>
                <w:rFonts w:ascii="Times New Roman" w:hAnsi="Times New Roman"/>
                <w:sz w:val="24"/>
                <w:szCs w:val="24"/>
                <w:lang w:val="nl-NL"/>
              </w:rPr>
              <w:t>,</w:t>
            </w:r>
          </w:p>
          <w:p w14:paraId="3DEE86CD" w14:textId="24CBF34A" w:rsidR="005523A8" w:rsidRPr="00A90AB7" w:rsidRDefault="005523A8" w:rsidP="005523A8">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khi sang Việt Nam làm việc tại Công ty</w:t>
            </w:r>
            <w:r w:rsidR="00690CD3">
              <w:rPr>
                <w:rFonts w:ascii="Times New Roman" w:hAnsi="Times New Roman"/>
                <w:sz w:val="24"/>
                <w:szCs w:val="24"/>
                <w:lang w:val="nl-NL"/>
              </w:rPr>
              <w:t>,</w:t>
            </w:r>
            <w:r w:rsidRPr="00A90AB7">
              <w:rPr>
                <w:rFonts w:ascii="Times New Roman" w:hAnsi="Times New Roman"/>
                <w:sz w:val="24"/>
                <w:szCs w:val="24"/>
                <w:lang w:val="nl-NL"/>
              </w:rPr>
              <w:t xml:space="preserve">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w:t>
            </w:r>
            <w:r w:rsidR="00690CD3">
              <w:rPr>
                <w:rFonts w:ascii="Times New Roman" w:hAnsi="Times New Roman"/>
                <w:sz w:val="24"/>
                <w:szCs w:val="24"/>
                <w:lang w:val="nl-NL"/>
              </w:rPr>
              <w:t>,</w:t>
            </w:r>
            <w:r w:rsidRPr="00A90AB7">
              <w:rPr>
                <w:rFonts w:ascii="Times New Roman" w:hAnsi="Times New Roman"/>
                <w:sz w:val="24"/>
                <w:szCs w:val="24"/>
                <w:lang w:val="nl-NL"/>
              </w:rPr>
              <w:t xml:space="preserve"> </w:t>
            </w:r>
          </w:p>
          <w:p w14:paraId="25391A2B" w14:textId="2222F283" w:rsidR="005523A8" w:rsidRPr="00A90AB7" w:rsidRDefault="005523A8" w:rsidP="005523A8">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lastRenderedPageBreak/>
              <w:t>Trước đó</w:t>
            </w:r>
            <w:r w:rsidR="00690CD3">
              <w:rPr>
                <w:rFonts w:ascii="Times New Roman" w:hAnsi="Times New Roman"/>
                <w:sz w:val="24"/>
                <w:szCs w:val="24"/>
                <w:lang w:val="nl-NL"/>
              </w:rPr>
              <w:t>,</w:t>
            </w:r>
            <w:r w:rsidRPr="00A90AB7">
              <w:rPr>
                <w:rFonts w:ascii="Times New Roman" w:hAnsi="Times New Roman"/>
                <w:sz w:val="24"/>
                <w:szCs w:val="24"/>
                <w:lang w:val="nl-NL"/>
              </w:rPr>
              <w:t xml:space="preserve"> ông đã có thời gian làm việc tại bộ phận phân tích của Ngân hàng Mizuho – Chi nhánh Singapore</w:t>
            </w:r>
            <w:r w:rsidR="00690CD3">
              <w:rPr>
                <w:rFonts w:ascii="Times New Roman" w:hAnsi="Times New Roman"/>
                <w:sz w:val="24"/>
                <w:szCs w:val="24"/>
                <w:lang w:val="nl-NL"/>
              </w:rPr>
              <w:t>,</w:t>
            </w:r>
          </w:p>
        </w:tc>
      </w:tr>
      <w:tr w:rsidR="005523A8" w:rsidRPr="00A90AB7" w14:paraId="6F543997" w14:textId="77777777" w:rsidTr="005E549F">
        <w:tc>
          <w:tcPr>
            <w:tcW w:w="2970" w:type="dxa"/>
          </w:tcPr>
          <w:p w14:paraId="7BC20F7E" w14:textId="6B3E3892"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00690CD3">
              <w:rPr>
                <w:rFonts w:ascii="Times New Roman" w:hAnsi="Times New Roman"/>
                <w:sz w:val="24"/>
                <w:szCs w:val="24"/>
                <w:lang w:val="nl-NL"/>
              </w:rPr>
              <w:t>,</w:t>
            </w:r>
          </w:p>
          <w:p w14:paraId="37AF3A83" w14:textId="0A40CBFD"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w:t>
            </w:r>
            <w:r w:rsidR="00690CD3">
              <w:rPr>
                <w:rFonts w:ascii="Times New Roman" w:hAnsi="Times New Roman"/>
                <w:sz w:val="24"/>
                <w:szCs w:val="24"/>
                <w:lang w:val="nl-NL"/>
              </w:rPr>
              <w:t>,</w:t>
            </w:r>
            <w:r w:rsidRPr="00A90AB7">
              <w:rPr>
                <w:rFonts w:ascii="Times New Roman" w:hAnsi="Times New Roman"/>
                <w:sz w:val="24"/>
                <w:szCs w:val="24"/>
                <w:lang w:val="nl-NL"/>
              </w:rPr>
              <w:t xml:space="preserve"> Trưởng Bộ phận Phát triển Kinh doanh</w:t>
            </w:r>
          </w:p>
        </w:tc>
        <w:tc>
          <w:tcPr>
            <w:tcW w:w="6390" w:type="dxa"/>
          </w:tcPr>
          <w:p w14:paraId="55CC4F0C" w14:textId="77777777" w:rsidR="005523A8" w:rsidRPr="00A90AB7" w:rsidRDefault="005523A8" w:rsidP="005523A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1A016ABC" w14:textId="2E4466C3"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Thương mại</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Kinh tế Tp</w:t>
            </w:r>
            <w:r w:rsidR="00690CD3">
              <w:rPr>
                <w:rFonts w:ascii="Times New Roman" w:hAnsi="Times New Roman"/>
                <w:sz w:val="24"/>
                <w:szCs w:val="24"/>
                <w:lang w:val="nl-NL"/>
              </w:rPr>
              <w:t>,</w:t>
            </w:r>
            <w:r w:rsidRPr="00A90AB7">
              <w:rPr>
                <w:rFonts w:ascii="Times New Roman" w:hAnsi="Times New Roman"/>
                <w:sz w:val="24"/>
                <w:szCs w:val="24"/>
                <w:lang w:val="nl-NL"/>
              </w:rPr>
              <w:t xml:space="preserve"> HCM</w:t>
            </w:r>
            <w:r w:rsidR="00690CD3">
              <w:rPr>
                <w:rFonts w:ascii="Times New Roman" w:hAnsi="Times New Roman"/>
                <w:sz w:val="24"/>
                <w:szCs w:val="24"/>
                <w:lang w:val="nl-NL"/>
              </w:rPr>
              <w:t>,</w:t>
            </w:r>
            <w:r w:rsidRPr="00A90AB7">
              <w:rPr>
                <w:rFonts w:ascii="Times New Roman" w:hAnsi="Times New Roman"/>
                <w:sz w:val="24"/>
                <w:szCs w:val="24"/>
                <w:lang w:val="nl-NL"/>
              </w:rPr>
              <w:t xml:space="preserve"> </w:t>
            </w:r>
          </w:p>
          <w:p w14:paraId="43686CF0" w14:textId="0C7F2334"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Mở Tp</w:t>
            </w:r>
            <w:r w:rsidR="00690CD3">
              <w:rPr>
                <w:rFonts w:ascii="Times New Roman" w:hAnsi="Times New Roman"/>
                <w:sz w:val="24"/>
                <w:szCs w:val="24"/>
                <w:lang w:val="nl-NL"/>
              </w:rPr>
              <w:t>,</w:t>
            </w:r>
            <w:r w:rsidRPr="00A90AB7">
              <w:rPr>
                <w:rFonts w:ascii="Times New Roman" w:hAnsi="Times New Roman"/>
                <w:sz w:val="24"/>
                <w:szCs w:val="24"/>
                <w:lang w:val="nl-NL"/>
              </w:rPr>
              <w:t xml:space="preserve"> HCM;</w:t>
            </w:r>
          </w:p>
          <w:p w14:paraId="18280756" w14:textId="48908A4D"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Quốc tế chuyên ngành Bảo hiểm Nhân thọ: Fellowship</w:t>
            </w:r>
            <w:r w:rsidR="00690CD3">
              <w:rPr>
                <w:rFonts w:ascii="Times New Roman" w:hAnsi="Times New Roman"/>
                <w:sz w:val="24"/>
                <w:szCs w:val="24"/>
                <w:lang w:val="nl-NL"/>
              </w:rPr>
              <w:t>,</w:t>
            </w:r>
            <w:r w:rsidRPr="00A90AB7">
              <w:rPr>
                <w:rFonts w:ascii="Times New Roman" w:hAnsi="Times New Roman"/>
                <w:sz w:val="24"/>
                <w:szCs w:val="24"/>
                <w:lang w:val="nl-NL"/>
              </w:rPr>
              <w:t xml:space="preserve"> Life Management Institue (FLMI)</w:t>
            </w:r>
            <w:r>
              <w:rPr>
                <w:rFonts w:ascii="Times New Roman" w:hAnsi="Times New Roman"/>
                <w:sz w:val="24"/>
                <w:szCs w:val="24"/>
                <w:lang w:val="nl-NL"/>
              </w:rPr>
              <w:t>;</w:t>
            </w:r>
            <w:r w:rsidRPr="00A90AB7">
              <w:rPr>
                <w:rFonts w:ascii="Times New Roman" w:hAnsi="Times New Roman"/>
                <w:sz w:val="24"/>
                <w:szCs w:val="24"/>
                <w:lang w:val="nl-NL"/>
              </w:rPr>
              <w:t xml:space="preserve">  </w:t>
            </w:r>
          </w:p>
          <w:p w14:paraId="52AE210B" w14:textId="3501A64A"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690CD3">
              <w:rPr>
                <w:rFonts w:ascii="Times New Roman" w:hAnsi="Times New Roman"/>
                <w:sz w:val="24"/>
                <w:szCs w:val="24"/>
                <w:lang w:val="nl-NL"/>
              </w:rPr>
              <w:t>,</w:t>
            </w:r>
          </w:p>
          <w:p w14:paraId="7D3682AD" w14:textId="77777777" w:rsidR="005523A8" w:rsidRPr="00A90AB7" w:rsidRDefault="005523A8" w:rsidP="005523A8">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2F402554" w14:textId="59B0B3C5"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kinh nghiệm làm việc trong lĩnh vực tài chính</w:t>
            </w:r>
            <w:r w:rsidR="00690CD3">
              <w:rPr>
                <w:rFonts w:ascii="Times New Roman" w:hAnsi="Times New Roman"/>
                <w:sz w:val="24"/>
                <w:szCs w:val="24"/>
                <w:lang w:val="nl-NL"/>
              </w:rPr>
              <w:t>,</w:t>
            </w:r>
            <w:r w:rsidRPr="00A90AB7">
              <w:rPr>
                <w:rFonts w:ascii="Times New Roman" w:hAnsi="Times New Roman"/>
                <w:sz w:val="24"/>
                <w:szCs w:val="24"/>
                <w:lang w:val="nl-NL"/>
              </w:rPr>
              <w:t xml:space="preserve"> bảo hiểm</w:t>
            </w:r>
            <w:r w:rsidR="00690CD3">
              <w:rPr>
                <w:rFonts w:ascii="Times New Roman" w:hAnsi="Times New Roman"/>
                <w:sz w:val="24"/>
                <w:szCs w:val="24"/>
                <w:lang w:val="nl-NL"/>
              </w:rPr>
              <w:t>,</w:t>
            </w:r>
            <w:r w:rsidRPr="00A90AB7">
              <w:rPr>
                <w:rFonts w:ascii="Times New Roman" w:hAnsi="Times New Roman"/>
                <w:sz w:val="24"/>
                <w:szCs w:val="24"/>
                <w:lang w:val="nl-NL"/>
              </w:rPr>
              <w:t xml:space="preserve"> quản lý quỹ; trong đó hơn mười (10) năm được đề bạt vào các chức danh quản lý tại các công ty quản lý quỹ hàng đầu Việt Nam</w:t>
            </w:r>
            <w:r w:rsidR="00690CD3">
              <w:rPr>
                <w:rFonts w:ascii="Times New Roman" w:hAnsi="Times New Roman"/>
                <w:sz w:val="24"/>
                <w:szCs w:val="24"/>
                <w:lang w:val="nl-NL"/>
              </w:rPr>
              <w:t>,</w:t>
            </w:r>
          </w:p>
          <w:p w14:paraId="4AE4D25E" w14:textId="7751FA02" w:rsidR="005523A8" w:rsidRPr="00A90AB7" w:rsidRDefault="005523A8" w:rsidP="005523A8">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Một Thành viên Quản lý Quỹ Dai-ichi Life Việt Nam</w:t>
            </w:r>
            <w:r w:rsidR="00690CD3">
              <w:rPr>
                <w:rFonts w:ascii="Times New Roman" w:hAnsi="Times New Roman"/>
                <w:sz w:val="24"/>
                <w:szCs w:val="24"/>
                <w:lang w:val="nl-NL"/>
              </w:rPr>
              <w:t>,</w:t>
            </w:r>
            <w:r w:rsidRPr="00A90AB7">
              <w:rPr>
                <w:rFonts w:ascii="Times New Roman" w:hAnsi="Times New Roman"/>
                <w:sz w:val="24"/>
                <w:szCs w:val="24"/>
                <w:lang w:val="nl-NL"/>
              </w:rPr>
              <w:t xml:space="preserve"> ông từng là Trưởng phòng Kinh doanh và Tiếp thị tại Công ty TNHH Quản lý Quỹ Manulife Việt Nam và sau đó đảm nhiệm vị trí Giám đốc Kinh doanh</w:t>
            </w:r>
            <w:r w:rsidR="00690CD3">
              <w:rPr>
                <w:rFonts w:ascii="Times New Roman" w:hAnsi="Times New Roman"/>
                <w:sz w:val="24"/>
                <w:szCs w:val="24"/>
                <w:lang w:val="nl-NL"/>
              </w:rPr>
              <w:t>,</w:t>
            </w:r>
            <w:r w:rsidRPr="00A90AB7">
              <w:rPr>
                <w:rFonts w:ascii="Times New Roman" w:hAnsi="Times New Roman"/>
                <w:sz w:val="24"/>
                <w:szCs w:val="24"/>
                <w:lang w:val="nl-NL"/>
              </w:rPr>
              <w:t xml:space="preserve"> Khối khách hàng cá nhân của Công ty Cổ phần Quản lý Quỹ VinaCapital (trước đó có tên là VinaWealth)</w:t>
            </w:r>
            <w:r w:rsidR="00690CD3">
              <w:rPr>
                <w:rFonts w:ascii="Times New Roman" w:hAnsi="Times New Roman"/>
                <w:sz w:val="24"/>
                <w:szCs w:val="24"/>
                <w:lang w:val="nl-NL"/>
              </w:rPr>
              <w:t>,</w:t>
            </w:r>
          </w:p>
          <w:p w14:paraId="277930DC" w14:textId="24A0D22C" w:rsidR="005523A8" w:rsidRPr="00A90AB7" w:rsidRDefault="005523A8" w:rsidP="005523A8">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r w:rsidR="00690CD3">
              <w:rPr>
                <w:rFonts w:ascii="Times New Roman" w:hAnsi="Times New Roman"/>
                <w:sz w:val="24"/>
                <w:szCs w:val="24"/>
                <w:lang w:val="nl-NL"/>
              </w:rPr>
              <w:t>,</w:t>
            </w:r>
          </w:p>
        </w:tc>
      </w:tr>
      <w:tr w:rsidR="005523A8" w:rsidRPr="00A90AB7" w14:paraId="22B76A1C" w14:textId="77777777" w:rsidTr="005E549F">
        <w:tc>
          <w:tcPr>
            <w:tcW w:w="2970" w:type="dxa"/>
          </w:tcPr>
          <w:p w14:paraId="0B1711D4" w14:textId="7E740947"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bCs/>
                <w:sz w:val="24"/>
                <w:szCs w:val="24"/>
                <w:lang w:val="nl-NL"/>
              </w:rPr>
              <w:t>Đoàn Công Đạt</w:t>
            </w:r>
            <w:r w:rsidR="00690CD3">
              <w:rPr>
                <w:rFonts w:ascii="Times New Roman" w:hAnsi="Times New Roman"/>
                <w:sz w:val="24"/>
                <w:szCs w:val="24"/>
                <w:lang w:val="nl-NL"/>
              </w:rPr>
              <w:t>,</w:t>
            </w:r>
          </w:p>
          <w:p w14:paraId="1CA9B341" w14:textId="0F13A532" w:rsidR="005523A8" w:rsidRPr="00A90AB7" w:rsidRDefault="005523A8" w:rsidP="005523A8">
            <w:pPr>
              <w:pStyle w:val="ListParagraph"/>
              <w:tabs>
                <w:tab w:val="left" w:pos="540"/>
              </w:tabs>
              <w:spacing w:before="120" w:after="0" w:line="240" w:lineRule="auto"/>
              <w:ind w:left="0"/>
              <w:jc w:val="both"/>
              <w:rPr>
                <w:rFonts w:ascii="Times New Roman" w:hAnsi="Times New Roman"/>
                <w:i/>
                <w:sz w:val="24"/>
                <w:szCs w:val="24"/>
                <w:lang w:val="nl-NL"/>
              </w:rPr>
            </w:pPr>
            <w:r w:rsidRPr="00A90AB7">
              <w:rPr>
                <w:rFonts w:ascii="Times New Roman" w:hAnsi="Times New Roman"/>
                <w:sz w:val="24"/>
                <w:szCs w:val="24"/>
                <w:lang w:val="nl-NL"/>
              </w:rPr>
              <w:t>Trưởng Bộ phận Kiểm soát Nội bộ</w:t>
            </w:r>
          </w:p>
        </w:tc>
        <w:tc>
          <w:tcPr>
            <w:tcW w:w="6390" w:type="dxa"/>
          </w:tcPr>
          <w:p w14:paraId="6357DB3D" w14:textId="77777777" w:rsidR="005523A8" w:rsidRPr="00A90AB7" w:rsidRDefault="005523A8" w:rsidP="005523A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C82A653" w14:textId="37EFAB8D"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Kế toán kiểm toán</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Kinh tế Tp</w:t>
            </w:r>
            <w:r w:rsidR="00690CD3">
              <w:rPr>
                <w:rFonts w:ascii="Times New Roman" w:hAnsi="Times New Roman"/>
                <w:sz w:val="24"/>
                <w:szCs w:val="24"/>
                <w:lang w:val="nl-NL"/>
              </w:rPr>
              <w:t>,</w:t>
            </w:r>
            <w:r w:rsidRPr="00A90AB7">
              <w:rPr>
                <w:rFonts w:ascii="Times New Roman" w:hAnsi="Times New Roman"/>
                <w:sz w:val="24"/>
                <w:szCs w:val="24"/>
                <w:lang w:val="nl-NL"/>
              </w:rPr>
              <w:t xml:space="preserve"> HCM; </w:t>
            </w:r>
          </w:p>
          <w:p w14:paraId="7B339EF5" w14:textId="43B2DDA3"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Luật</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Kinh tế - Luật Tp</w:t>
            </w:r>
            <w:r w:rsidR="00690CD3">
              <w:rPr>
                <w:rFonts w:ascii="Times New Roman" w:hAnsi="Times New Roman"/>
                <w:sz w:val="24"/>
                <w:szCs w:val="24"/>
                <w:lang w:val="nl-NL"/>
              </w:rPr>
              <w:t>,</w:t>
            </w:r>
            <w:r w:rsidRPr="00A90AB7">
              <w:rPr>
                <w:rFonts w:ascii="Times New Roman" w:hAnsi="Times New Roman"/>
                <w:sz w:val="24"/>
                <w:szCs w:val="24"/>
                <w:lang w:val="nl-NL"/>
              </w:rPr>
              <w:t xml:space="preserve"> HCM;</w:t>
            </w:r>
          </w:p>
          <w:p w14:paraId="066610EC" w14:textId="7EE78B3A"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Khoa học Xã hội và Nhân văn Tp</w:t>
            </w:r>
            <w:r w:rsidR="00690CD3">
              <w:rPr>
                <w:rFonts w:ascii="Times New Roman" w:hAnsi="Times New Roman"/>
                <w:sz w:val="24"/>
                <w:szCs w:val="24"/>
                <w:lang w:val="nl-NL"/>
              </w:rPr>
              <w:t>,</w:t>
            </w:r>
            <w:r w:rsidRPr="00A90AB7">
              <w:rPr>
                <w:rFonts w:ascii="Times New Roman" w:hAnsi="Times New Roman"/>
                <w:sz w:val="24"/>
                <w:szCs w:val="24"/>
                <w:lang w:val="nl-NL"/>
              </w:rPr>
              <w:t xml:space="preserve"> HCM;</w:t>
            </w:r>
          </w:p>
          <w:p w14:paraId="14A3E137" w14:textId="7148862D" w:rsidR="005523A8" w:rsidRPr="00A90AB7" w:rsidRDefault="005523A8" w:rsidP="005523A8">
            <w:pPr>
              <w:pStyle w:val="ListParagraph"/>
              <w:numPr>
                <w:ilvl w:val="0"/>
                <w:numId w:val="7"/>
              </w:numPr>
              <w:tabs>
                <w:tab w:val="left" w:pos="706"/>
              </w:tabs>
              <w:spacing w:before="120" w:after="0" w:line="240" w:lineRule="auto"/>
              <w:ind w:hanging="644"/>
              <w:jc w:val="both"/>
              <w:rPr>
                <w:rFonts w:ascii="Times New Roman" w:hAnsi="Times New Roman"/>
                <w:b/>
                <w:i/>
                <w:sz w:val="24"/>
                <w:szCs w:val="24"/>
                <w:lang w:val="nl-NL"/>
              </w:rPr>
            </w:pPr>
            <w:r w:rsidRPr="00A90AB7">
              <w:rPr>
                <w:rFonts w:ascii="Times New Roman" w:hAnsi="Times New Roman"/>
                <w:sz w:val="24"/>
                <w:szCs w:val="24"/>
                <w:lang w:val="nl-NL"/>
              </w:rPr>
              <w:t>Chứng chỉ CIA (Certified Internal Auditor) của Hiệp hội Kiểm toán Nội bộ Hoa Kỳ</w:t>
            </w:r>
            <w:r w:rsidR="00690CD3">
              <w:rPr>
                <w:rFonts w:ascii="Times New Roman" w:hAnsi="Times New Roman"/>
                <w:sz w:val="24"/>
                <w:szCs w:val="24"/>
                <w:lang w:val="nl-NL"/>
              </w:rPr>
              <w:t>,</w:t>
            </w:r>
          </w:p>
          <w:p w14:paraId="6E03A649" w14:textId="77777777" w:rsidR="005523A8" w:rsidRPr="00A90AB7" w:rsidRDefault="005523A8" w:rsidP="005523A8">
            <w:pPr>
              <w:tabs>
                <w:tab w:val="left" w:pos="706"/>
              </w:tabs>
              <w:spacing w:before="120" w:after="0" w:line="240" w:lineRule="auto"/>
              <w:ind w:left="76"/>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1D0F3E46" w14:textId="5F4F9A57"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hai (12) năm kinh nghiệm làm việc trong lĩnh vực tài chính</w:t>
            </w:r>
            <w:r w:rsidR="00690CD3">
              <w:rPr>
                <w:rFonts w:ascii="Times New Roman" w:hAnsi="Times New Roman"/>
                <w:sz w:val="24"/>
                <w:szCs w:val="24"/>
                <w:lang w:val="nl-NL"/>
              </w:rPr>
              <w:t>,</w:t>
            </w:r>
            <w:r w:rsidRPr="00A90AB7">
              <w:rPr>
                <w:rFonts w:ascii="Times New Roman" w:hAnsi="Times New Roman"/>
                <w:sz w:val="24"/>
                <w:szCs w:val="24"/>
                <w:lang w:val="nl-NL"/>
              </w:rPr>
              <w:t xml:space="preserve"> bảo hiểm và đương nhiệm các vị trí quản lý về pháp lý</w:t>
            </w:r>
            <w:r w:rsidR="00690CD3">
              <w:rPr>
                <w:rFonts w:ascii="Times New Roman" w:hAnsi="Times New Roman"/>
                <w:sz w:val="24"/>
                <w:szCs w:val="24"/>
                <w:lang w:val="nl-NL"/>
              </w:rPr>
              <w:t>,</w:t>
            </w:r>
            <w:r w:rsidRPr="00A90AB7">
              <w:rPr>
                <w:rFonts w:ascii="Times New Roman" w:hAnsi="Times New Roman"/>
                <w:sz w:val="24"/>
                <w:szCs w:val="24"/>
                <w:lang w:val="nl-NL"/>
              </w:rPr>
              <w:t xml:space="preserve"> tuân thủ và kiểm toán nội bộ</w:t>
            </w:r>
            <w:r w:rsidR="00690CD3">
              <w:rPr>
                <w:rFonts w:ascii="Times New Roman" w:hAnsi="Times New Roman"/>
                <w:sz w:val="24"/>
                <w:szCs w:val="24"/>
                <w:lang w:val="nl-NL"/>
              </w:rPr>
              <w:t>,</w:t>
            </w:r>
            <w:r w:rsidRPr="00A90AB7">
              <w:rPr>
                <w:rFonts w:ascii="Times New Roman" w:hAnsi="Times New Roman"/>
                <w:sz w:val="24"/>
                <w:szCs w:val="24"/>
                <w:lang w:val="nl-NL"/>
              </w:rPr>
              <w:t xml:space="preserve"> </w:t>
            </w:r>
          </w:p>
          <w:p w14:paraId="354E9503" w14:textId="6712ADDD" w:rsidR="005523A8" w:rsidRPr="003329D6" w:rsidRDefault="005523A8" w:rsidP="005523A8">
            <w:pPr>
              <w:pStyle w:val="ListParagraph"/>
              <w:tabs>
                <w:tab w:val="left" w:pos="540"/>
              </w:tabs>
              <w:spacing w:before="120" w:after="0" w:line="240" w:lineRule="auto"/>
              <w:ind w:left="0"/>
              <w:contextualSpacing w:val="0"/>
              <w:jc w:val="both"/>
              <w:rPr>
                <w:rFonts w:ascii="Times New Roman" w:hAnsi="Times New Roman"/>
                <w:sz w:val="24"/>
                <w:szCs w:val="24"/>
                <w:lang w:val="nl-NL"/>
              </w:rPr>
            </w:pPr>
            <w:r w:rsidRPr="00A90AB7">
              <w:rPr>
                <w:rFonts w:ascii="Times New Roman" w:hAnsi="Times New Roman"/>
                <w:sz w:val="24"/>
                <w:szCs w:val="24"/>
                <w:lang w:val="nl-NL"/>
              </w:rPr>
              <w:t>Trước khi gia nhập Công ty</w:t>
            </w:r>
            <w:r w:rsidR="00690CD3">
              <w:rPr>
                <w:rFonts w:ascii="Times New Roman" w:hAnsi="Times New Roman"/>
                <w:sz w:val="24"/>
                <w:szCs w:val="24"/>
                <w:lang w:val="nl-NL"/>
              </w:rPr>
              <w:t>,</w:t>
            </w:r>
            <w:r w:rsidRPr="00A90AB7">
              <w:rPr>
                <w:rFonts w:ascii="Times New Roman" w:hAnsi="Times New Roman"/>
                <w:sz w:val="24"/>
                <w:szCs w:val="24"/>
                <w:lang w:val="nl-NL"/>
              </w:rPr>
              <w:t xml:space="preserve"> ông đã từng đảm nhiệm chức vụ Trưởng bộ phận tuân thủ tại các công ty lớn như Herballife Việt Nam</w:t>
            </w:r>
            <w:r w:rsidR="00690CD3">
              <w:rPr>
                <w:rFonts w:ascii="Times New Roman" w:hAnsi="Times New Roman"/>
                <w:sz w:val="24"/>
                <w:szCs w:val="24"/>
                <w:lang w:val="nl-NL"/>
              </w:rPr>
              <w:t>,</w:t>
            </w:r>
            <w:r w:rsidRPr="00A90AB7">
              <w:rPr>
                <w:rFonts w:ascii="Times New Roman" w:hAnsi="Times New Roman"/>
                <w:sz w:val="24"/>
                <w:szCs w:val="24"/>
                <w:lang w:val="nl-NL"/>
              </w:rPr>
              <w:t xml:space="preserve"> Pfizer Việt Nam</w:t>
            </w:r>
            <w:r w:rsidR="00690CD3">
              <w:rPr>
                <w:rFonts w:ascii="Times New Roman" w:hAnsi="Times New Roman"/>
                <w:sz w:val="24"/>
                <w:szCs w:val="24"/>
                <w:lang w:val="nl-NL"/>
              </w:rPr>
              <w:t>,</w:t>
            </w:r>
            <w:r w:rsidRPr="00A90AB7">
              <w:rPr>
                <w:rFonts w:ascii="Times New Roman" w:hAnsi="Times New Roman"/>
                <w:sz w:val="24"/>
                <w:szCs w:val="24"/>
                <w:lang w:val="nl-NL"/>
              </w:rPr>
              <w:t xml:space="preserve"> Shell Việt Nam</w:t>
            </w:r>
            <w:r w:rsidR="00690CD3">
              <w:rPr>
                <w:rFonts w:ascii="Times New Roman" w:hAnsi="Times New Roman"/>
                <w:sz w:val="24"/>
                <w:szCs w:val="24"/>
                <w:lang w:val="nl-NL"/>
              </w:rPr>
              <w:t>,</w:t>
            </w:r>
            <w:r w:rsidRPr="00A90AB7">
              <w:rPr>
                <w:rFonts w:ascii="Times New Roman" w:hAnsi="Times New Roman"/>
                <w:sz w:val="24"/>
                <w:szCs w:val="24"/>
                <w:lang w:val="nl-NL"/>
              </w:rPr>
              <w:t xml:space="preserve"> Công ty Bảo hiểm Nhân thọ Prudential Việt Nam và đã từng giữ vị trí Trưởng phòng Kiểm toán Nội bộ Công ty Bảo hiểm Nhân thọ Manulife Việt Nam</w:t>
            </w:r>
            <w:r w:rsidR="00690CD3">
              <w:rPr>
                <w:rFonts w:ascii="Times New Roman" w:hAnsi="Times New Roman"/>
                <w:sz w:val="24"/>
                <w:szCs w:val="24"/>
                <w:lang w:val="nl-NL"/>
              </w:rPr>
              <w:t>,</w:t>
            </w:r>
            <w:r w:rsidRPr="00A90AB7">
              <w:rPr>
                <w:rFonts w:ascii="Times New Roman" w:hAnsi="Times New Roman"/>
                <w:sz w:val="24"/>
                <w:szCs w:val="24"/>
                <w:lang w:val="nl-NL"/>
              </w:rPr>
              <w:t xml:space="preserve"> </w:t>
            </w:r>
          </w:p>
        </w:tc>
      </w:tr>
    </w:tbl>
    <w:p w14:paraId="0D32559D" w14:textId="65030DE9" w:rsidR="00E92263"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413992EA" w14:textId="58C5EABB" w:rsidR="00572F1B"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3BCAEBF7" w14:textId="77777777" w:rsidR="00572F1B" w:rsidRPr="00A90AB7"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523A8" w:rsidRPr="00A90AB7" w14:paraId="59D5C2CB" w14:textId="77777777" w:rsidTr="0083372E">
        <w:tc>
          <w:tcPr>
            <w:tcW w:w="2970" w:type="dxa"/>
          </w:tcPr>
          <w:p w14:paraId="5BD0B2C6" w14:textId="1D35EDE7"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Nguyễn Trường Tài</w:t>
            </w:r>
            <w:r w:rsidR="00690CD3">
              <w:rPr>
                <w:rFonts w:ascii="Times New Roman" w:hAnsi="Times New Roman"/>
                <w:b/>
                <w:sz w:val="24"/>
                <w:szCs w:val="24"/>
                <w:lang w:val="nl-NL"/>
              </w:rPr>
              <w:t>,</w:t>
            </w:r>
          </w:p>
          <w:p w14:paraId="33F3DDEF" w14:textId="706746EB"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5D164FD7" w14:textId="77777777" w:rsidR="005523A8" w:rsidRPr="00A90AB7" w:rsidRDefault="005523A8" w:rsidP="005523A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C01C0F9" w14:textId="3FD11CF0" w:rsidR="005523A8" w:rsidRPr="00A90AB7" w:rsidRDefault="005523A8" w:rsidP="005523A8">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Tài chính Doanh nghiệp</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Kinh tế Tp</w:t>
            </w:r>
            <w:r w:rsidR="00690CD3">
              <w:rPr>
                <w:rFonts w:ascii="Times New Roman" w:hAnsi="Times New Roman"/>
                <w:sz w:val="24"/>
                <w:szCs w:val="24"/>
                <w:lang w:val="nl-NL"/>
              </w:rPr>
              <w:t>,</w:t>
            </w:r>
            <w:r w:rsidRPr="00A90AB7">
              <w:rPr>
                <w:rFonts w:ascii="Times New Roman" w:hAnsi="Times New Roman"/>
                <w:sz w:val="24"/>
                <w:szCs w:val="24"/>
                <w:lang w:val="nl-NL"/>
              </w:rPr>
              <w:t xml:space="preserve"> Hồ Chí Minh;</w:t>
            </w:r>
          </w:p>
          <w:p w14:paraId="2A54F071" w14:textId="1B96A81F" w:rsidR="005523A8" w:rsidRPr="00A90AB7" w:rsidRDefault="005523A8" w:rsidP="005523A8">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Thạc sỹ Quản trị Chương trình cao học Đại học UQAM (University of Quebec at Montreal</w:t>
            </w:r>
            <w:r w:rsidR="00690CD3">
              <w:rPr>
                <w:rFonts w:ascii="Times New Roman" w:hAnsi="Times New Roman"/>
                <w:sz w:val="24"/>
                <w:szCs w:val="24"/>
                <w:lang w:val="nl-NL"/>
              </w:rPr>
              <w:t>,</w:t>
            </w:r>
            <w:r w:rsidRPr="00A90AB7">
              <w:rPr>
                <w:rFonts w:ascii="Times New Roman" w:hAnsi="Times New Roman"/>
                <w:sz w:val="24"/>
                <w:szCs w:val="24"/>
                <w:lang w:val="nl-NL"/>
              </w:rPr>
              <w:t xml:space="preserve"> Canada);</w:t>
            </w:r>
          </w:p>
          <w:p w14:paraId="1798ECAE" w14:textId="77777777" w:rsidR="005523A8" w:rsidRPr="00A90AB7" w:rsidRDefault="005523A8" w:rsidP="005523A8">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CFO của PACE phối hợp với Học viện Quản trị Tài chính Hoa Kỳ AAFM;</w:t>
            </w:r>
          </w:p>
          <w:p w14:paraId="60BC8994" w14:textId="43197351" w:rsidR="005523A8" w:rsidRPr="00A90AB7" w:rsidRDefault="005523A8" w:rsidP="005523A8">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690CD3">
              <w:rPr>
                <w:rFonts w:ascii="Times New Roman" w:hAnsi="Times New Roman"/>
                <w:sz w:val="24"/>
                <w:szCs w:val="24"/>
                <w:lang w:val="nl-NL"/>
              </w:rPr>
              <w:t>,</w:t>
            </w:r>
          </w:p>
          <w:p w14:paraId="3BF6DFB6" w14:textId="77777777" w:rsidR="005523A8" w:rsidRPr="00A90AB7" w:rsidRDefault="005523A8" w:rsidP="005523A8">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C7FB1D3" w14:textId="22CD55A3" w:rsidR="005523A8" w:rsidRPr="00A90AB7" w:rsidRDefault="005523A8" w:rsidP="005523A8">
            <w:pPr>
              <w:pStyle w:val="ListParagraph"/>
              <w:tabs>
                <w:tab w:val="left" w:pos="540"/>
              </w:tabs>
              <w:spacing w:before="12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làm việc trong lĩnh vực đầu tư</w:t>
            </w:r>
            <w:r w:rsidR="00690CD3">
              <w:rPr>
                <w:rFonts w:ascii="Times New Roman" w:hAnsi="Times New Roman"/>
                <w:sz w:val="24"/>
                <w:szCs w:val="24"/>
                <w:lang w:val="nl-NL"/>
              </w:rPr>
              <w:t>,</w:t>
            </w:r>
            <w:r w:rsidRPr="00A90AB7">
              <w:rPr>
                <w:rFonts w:ascii="Times New Roman" w:hAnsi="Times New Roman"/>
                <w:sz w:val="24"/>
                <w:szCs w:val="24"/>
                <w:lang w:val="nl-NL"/>
              </w:rPr>
              <w:t xml:space="preserve"> tài chính ngân hàng</w:t>
            </w:r>
            <w:r w:rsidR="00690CD3">
              <w:rPr>
                <w:rFonts w:ascii="Times New Roman" w:hAnsi="Times New Roman"/>
                <w:sz w:val="24"/>
                <w:szCs w:val="24"/>
                <w:lang w:val="nl-NL"/>
              </w:rPr>
              <w:t>,</w:t>
            </w:r>
            <w:r w:rsidRPr="00A90AB7">
              <w:rPr>
                <w:rFonts w:ascii="Times New Roman" w:hAnsi="Times New Roman"/>
                <w:sz w:val="24"/>
                <w:szCs w:val="24"/>
                <w:lang w:val="nl-NL"/>
              </w:rPr>
              <w:t xml:space="preserve"> trong đó có </w:t>
            </w:r>
            <w:r>
              <w:rPr>
                <w:rFonts w:ascii="Times New Roman" w:hAnsi="Times New Roman"/>
                <w:sz w:val="24"/>
                <w:szCs w:val="24"/>
                <w:lang w:val="nl-NL"/>
              </w:rPr>
              <w:t xml:space="preserve">hơn </w:t>
            </w:r>
            <w:r w:rsidRPr="00A90AB7">
              <w:rPr>
                <w:rFonts w:ascii="Times New Roman" w:hAnsi="Times New Roman"/>
                <w:sz w:val="24"/>
                <w:szCs w:val="24"/>
                <w:lang w:val="nl-NL"/>
              </w:rPr>
              <w:t>mười (10) năm giữ chức vụ Phụ trách đầu tư cổ phiếu tại các Công ty: Công ty Quản lý Quỹ Nhân Việt</w:t>
            </w:r>
            <w:r w:rsidR="00690CD3">
              <w:rPr>
                <w:rFonts w:ascii="Times New Roman" w:hAnsi="Times New Roman"/>
                <w:sz w:val="24"/>
                <w:szCs w:val="24"/>
                <w:lang w:val="nl-NL"/>
              </w:rPr>
              <w:t>,</w:t>
            </w:r>
            <w:r w:rsidRPr="00A90AB7">
              <w:rPr>
                <w:rFonts w:ascii="Times New Roman" w:hAnsi="Times New Roman"/>
                <w:sz w:val="24"/>
                <w:szCs w:val="24"/>
                <w:lang w:val="nl-NL"/>
              </w:rPr>
              <w:t xml:space="preserve"> Công ty TNHH Bảo hiểm Nhân thọ Dai-ichi Việt Nam và Công ty TNHH Một Thành viên Quản lý Quỹ Dai-ichi Life Việt Nam</w:t>
            </w:r>
            <w:r w:rsidR="00690CD3">
              <w:rPr>
                <w:rFonts w:ascii="Times New Roman" w:hAnsi="Times New Roman"/>
                <w:sz w:val="24"/>
                <w:szCs w:val="24"/>
                <w:lang w:val="nl-NL"/>
              </w:rPr>
              <w:t>,</w:t>
            </w:r>
            <w:r w:rsidRPr="00A90AB7">
              <w:rPr>
                <w:rFonts w:ascii="Times New Roman" w:hAnsi="Times New Roman"/>
                <w:sz w:val="24"/>
                <w:szCs w:val="24"/>
                <w:lang w:val="nl-NL"/>
              </w:rPr>
              <w:t xml:space="preserve"> </w:t>
            </w:r>
          </w:p>
        </w:tc>
      </w:tr>
      <w:tr w:rsidR="005523A8" w:rsidRPr="00A90AB7" w14:paraId="3AD01E93" w14:textId="77777777" w:rsidTr="0083372E">
        <w:tc>
          <w:tcPr>
            <w:tcW w:w="2970" w:type="dxa"/>
          </w:tcPr>
          <w:p w14:paraId="029D3656" w14:textId="559DF872"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 xml:space="preserve">Bà </w:t>
            </w:r>
            <w:r w:rsidRPr="00A90AB7">
              <w:rPr>
                <w:rFonts w:ascii="Times New Roman" w:hAnsi="Times New Roman"/>
                <w:b/>
                <w:sz w:val="24"/>
                <w:szCs w:val="24"/>
                <w:lang w:val="nl-NL"/>
              </w:rPr>
              <w:t>Trần Thị Anh Trâm</w:t>
            </w:r>
            <w:r w:rsidR="00690CD3">
              <w:rPr>
                <w:rFonts w:ascii="Times New Roman" w:hAnsi="Times New Roman"/>
                <w:b/>
                <w:sz w:val="24"/>
                <w:szCs w:val="24"/>
                <w:lang w:val="nl-NL"/>
              </w:rPr>
              <w:t>,</w:t>
            </w:r>
          </w:p>
          <w:p w14:paraId="7E95BEBC" w14:textId="643A3D55" w:rsidR="005523A8" w:rsidRPr="00A90AB7" w:rsidRDefault="005523A8" w:rsidP="005523A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Trưởng phòng </w:t>
            </w:r>
            <w:r>
              <w:rPr>
                <w:rFonts w:ascii="Times New Roman" w:hAnsi="Times New Roman"/>
                <w:sz w:val="24"/>
                <w:szCs w:val="24"/>
                <w:lang w:val="nl-NL"/>
              </w:rPr>
              <w:t xml:space="preserve">Cao cấp </w:t>
            </w:r>
            <w:r w:rsidRPr="00A90AB7">
              <w:rPr>
                <w:rFonts w:ascii="Times New Roman" w:hAnsi="Times New Roman"/>
                <w:sz w:val="24"/>
                <w:szCs w:val="24"/>
                <w:lang w:val="nl-NL"/>
              </w:rPr>
              <w:t>Nghiệp vụ</w:t>
            </w:r>
          </w:p>
        </w:tc>
        <w:tc>
          <w:tcPr>
            <w:tcW w:w="6390" w:type="dxa"/>
          </w:tcPr>
          <w:p w14:paraId="775D71C5" w14:textId="77777777" w:rsidR="005523A8" w:rsidRPr="00A90AB7" w:rsidRDefault="005523A8" w:rsidP="005523A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56E282CF" w14:textId="2B1AD215" w:rsidR="005523A8" w:rsidRPr="00A90AB7" w:rsidRDefault="005523A8" w:rsidP="005523A8">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Luật</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Luật Tp</w:t>
            </w:r>
            <w:r w:rsidR="00690CD3">
              <w:rPr>
                <w:rFonts w:ascii="Times New Roman" w:hAnsi="Times New Roman"/>
                <w:sz w:val="24"/>
                <w:szCs w:val="24"/>
                <w:lang w:val="nl-NL"/>
              </w:rPr>
              <w:t>,</w:t>
            </w:r>
            <w:r w:rsidRPr="00A90AB7">
              <w:rPr>
                <w:rFonts w:ascii="Times New Roman" w:hAnsi="Times New Roman"/>
                <w:sz w:val="24"/>
                <w:szCs w:val="24"/>
                <w:lang w:val="nl-NL"/>
              </w:rPr>
              <w:t xml:space="preserve"> Hồ Chí Minh;</w:t>
            </w:r>
          </w:p>
          <w:p w14:paraId="4AC11CEF" w14:textId="23150FF1" w:rsidR="005523A8" w:rsidRPr="00A90AB7" w:rsidRDefault="005523A8" w:rsidP="005523A8">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Cử nhân chuyên ngành Kế toán/Kiểm toán</w:t>
            </w:r>
            <w:r w:rsidR="00690CD3">
              <w:rPr>
                <w:rFonts w:ascii="Times New Roman" w:hAnsi="Times New Roman"/>
                <w:sz w:val="24"/>
                <w:szCs w:val="24"/>
                <w:lang w:val="nl-NL"/>
              </w:rPr>
              <w:t>,</w:t>
            </w:r>
            <w:r w:rsidRPr="00A90AB7">
              <w:rPr>
                <w:rFonts w:ascii="Times New Roman" w:hAnsi="Times New Roman"/>
                <w:sz w:val="24"/>
                <w:szCs w:val="24"/>
                <w:lang w:val="nl-NL"/>
              </w:rPr>
              <w:t xml:space="preserve"> Đại học Văn Lang;</w:t>
            </w:r>
          </w:p>
          <w:p w14:paraId="6D7FDF94" w14:textId="03BC0E99" w:rsidR="005523A8" w:rsidRPr="00A90AB7" w:rsidRDefault="005523A8" w:rsidP="005523A8">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690CD3">
              <w:rPr>
                <w:rFonts w:ascii="Times New Roman" w:hAnsi="Times New Roman"/>
                <w:sz w:val="24"/>
                <w:szCs w:val="24"/>
                <w:lang w:val="nl-NL"/>
              </w:rPr>
              <w:t>,</w:t>
            </w:r>
          </w:p>
          <w:p w14:paraId="5DB11A0A" w14:textId="77777777" w:rsidR="005523A8" w:rsidRPr="00A90AB7" w:rsidRDefault="005523A8" w:rsidP="005523A8">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02D7055A" w:rsidR="005523A8" w:rsidRPr="00A90AB7" w:rsidRDefault="005523A8" w:rsidP="005523A8">
            <w:pPr>
              <w:spacing w:before="60" w:after="60"/>
              <w:jc w:val="both"/>
              <w:rPr>
                <w:rFonts w:ascii="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(12)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00690CD3">
              <w:rPr>
                <w:rFonts w:ascii="Times New Roman" w:hAnsi="Times New Roman"/>
                <w:sz w:val="24"/>
                <w:szCs w:val="24"/>
              </w:rPr>
              <w:t>,</w:t>
            </w:r>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Life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Bảo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Nhân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thọ</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w:t>
            </w:r>
            <w:r w:rsidR="00690CD3">
              <w:rPr>
                <w:rFonts w:ascii="Times New Roman" w:hAnsi="Times New Roman"/>
                <w:sz w:val="24"/>
                <w:szCs w:val="24"/>
              </w:rPr>
              <w:t>,</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523A8" w:rsidRPr="00A90AB7" w14:paraId="73433A03" w14:textId="77777777" w:rsidTr="0083372E">
        <w:tc>
          <w:tcPr>
            <w:tcW w:w="2970" w:type="dxa"/>
          </w:tcPr>
          <w:p w14:paraId="4D9B7BA2" w14:textId="08A5A468" w:rsidR="005523A8" w:rsidRPr="00A90AB7" w:rsidRDefault="005523A8" w:rsidP="005523A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Việt</w:t>
            </w:r>
            <w:proofErr w:type="spellEnd"/>
            <w:r w:rsidR="00690CD3">
              <w:rPr>
                <w:rFonts w:ascii="Times New Roman" w:hAnsi="Times New Roman"/>
                <w:b/>
                <w:sz w:val="24"/>
                <w:szCs w:val="24"/>
              </w:rPr>
              <w:t>,</w:t>
            </w:r>
          </w:p>
          <w:p w14:paraId="0FBFF604" w14:textId="16966C83"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Tp</w:t>
            </w:r>
            <w:proofErr w:type="spellEnd"/>
            <w:r w:rsidR="00690CD3">
              <w:rPr>
                <w:rFonts w:ascii="Times New Roman" w:hAnsi="Times New Roman"/>
                <w:sz w:val="24"/>
                <w:szCs w:val="24"/>
              </w:rPr>
              <w:t>,</w:t>
            </w:r>
            <w:r w:rsidRPr="00A90AB7">
              <w:rPr>
                <w:rFonts w:ascii="Times New Roman" w:hAnsi="Times New Roman"/>
                <w:sz w:val="24"/>
                <w:szCs w:val="24"/>
              </w:rPr>
              <w:t xml:space="preserve"> HCM (HSC)</w:t>
            </w:r>
          </w:p>
        </w:tc>
        <w:tc>
          <w:tcPr>
            <w:tcW w:w="6390" w:type="dxa"/>
          </w:tcPr>
          <w:p w14:paraId="78B34737" w14:textId="4D0529D7"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00690CD3">
              <w:rPr>
                <w:rFonts w:ascii="Times New Roman" w:hAnsi="Times New Roman"/>
                <w:sz w:val="24"/>
                <w:szCs w:val="24"/>
              </w:rPr>
              <w:t>,</w:t>
            </w:r>
            <w:r w:rsidRPr="00A90AB7">
              <w:rPr>
                <w:rFonts w:ascii="Times New Roman" w:hAnsi="Times New Roman"/>
                <w:sz w:val="24"/>
                <w:szCs w:val="24"/>
              </w:rPr>
              <w:t xml:space="preserve"> </w:t>
            </w:r>
          </w:p>
          <w:p w14:paraId="0B130213" w14:textId="2BFB5603"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Tp</w:t>
            </w:r>
            <w:proofErr w:type="spellEnd"/>
            <w:r w:rsidR="00690CD3">
              <w:rPr>
                <w:rFonts w:ascii="Times New Roman" w:hAnsi="Times New Roman"/>
                <w:sz w:val="24"/>
                <w:szCs w:val="24"/>
              </w:rPr>
              <w:t>,</w:t>
            </w:r>
            <w:r w:rsidRPr="00A90AB7">
              <w:rPr>
                <w:rFonts w:ascii="Times New Roman" w:hAnsi="Times New Roman"/>
                <w:sz w:val="24"/>
                <w:szCs w:val="24"/>
              </w:rPr>
              <w:t xml:space="preserve"> HCM (HSC)</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Tp</w:t>
            </w:r>
            <w:proofErr w:type="spellEnd"/>
            <w:r w:rsidR="00690CD3">
              <w:rPr>
                <w:rFonts w:ascii="Times New Roman" w:hAnsi="Times New Roman"/>
                <w:sz w:val="24"/>
                <w:szCs w:val="24"/>
              </w:rPr>
              <w:t>,</w:t>
            </w:r>
            <w:r w:rsidRPr="00A90AB7">
              <w:rPr>
                <w:rFonts w:ascii="Times New Roman" w:hAnsi="Times New Roman"/>
                <w:sz w:val="24"/>
                <w:szCs w:val="24"/>
              </w:rPr>
              <w:t xml:space="preserve"> HCM (HSC)</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tịch</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(VASB)</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lastRenderedPageBreak/>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Tp</w:t>
            </w:r>
            <w:proofErr w:type="spellEnd"/>
            <w:r w:rsidR="00690CD3">
              <w:rPr>
                <w:rFonts w:ascii="Times New Roman" w:hAnsi="Times New Roman"/>
                <w:sz w:val="24"/>
                <w:szCs w:val="24"/>
              </w:rPr>
              <w:t>,</w:t>
            </w:r>
            <w:r w:rsidRPr="00A90AB7">
              <w:rPr>
                <w:rFonts w:ascii="Times New Roman" w:hAnsi="Times New Roman"/>
                <w:sz w:val="24"/>
                <w:szCs w:val="24"/>
              </w:rPr>
              <w:t xml:space="preserve">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00690CD3">
              <w:rPr>
                <w:rFonts w:ascii="Times New Roman" w:hAnsi="Times New Roman"/>
                <w:sz w:val="24"/>
                <w:szCs w:val="24"/>
              </w:rPr>
              <w:t>,</w:t>
            </w:r>
            <w:r w:rsidRPr="00A90AB7">
              <w:rPr>
                <w:rFonts w:ascii="Times New Roman" w:hAnsi="Times New Roman"/>
                <w:sz w:val="24"/>
                <w:szCs w:val="24"/>
              </w:rPr>
              <w:t xml:space="preserve">   </w:t>
            </w:r>
          </w:p>
        </w:tc>
      </w:tr>
      <w:tr w:rsidR="005523A8" w:rsidRPr="00A90AB7" w14:paraId="288605CE" w14:textId="77777777" w:rsidTr="0083372E">
        <w:tc>
          <w:tcPr>
            <w:tcW w:w="2970" w:type="dxa"/>
          </w:tcPr>
          <w:p w14:paraId="3FE8535C" w14:textId="28B4630D" w:rsidR="005523A8" w:rsidRPr="00A90AB7" w:rsidRDefault="005523A8" w:rsidP="005523A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lastRenderedPageBreak/>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r w:rsidR="00690CD3">
              <w:rPr>
                <w:rFonts w:ascii="Times New Roman" w:hAnsi="Times New Roman"/>
                <w:b/>
                <w:sz w:val="24"/>
                <w:szCs w:val="24"/>
              </w:rPr>
              <w:t>,</w:t>
            </w:r>
          </w:p>
          <w:p w14:paraId="54992C26" w14:textId="552C6CE5"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Tp</w:t>
            </w:r>
            <w:proofErr w:type="spellEnd"/>
            <w:r w:rsidR="00690CD3">
              <w:rPr>
                <w:rFonts w:ascii="Times New Roman" w:hAnsi="Times New Roman"/>
                <w:sz w:val="24"/>
                <w:szCs w:val="24"/>
              </w:rPr>
              <w:t>,</w:t>
            </w:r>
            <w:r w:rsidRPr="00A90AB7">
              <w:rPr>
                <w:rFonts w:ascii="Times New Roman" w:hAnsi="Times New Roman"/>
                <w:sz w:val="24"/>
                <w:szCs w:val="24"/>
              </w:rPr>
              <w:t xml:space="preserve">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
        </w:tc>
        <w:tc>
          <w:tcPr>
            <w:tcW w:w="6390" w:type="dxa"/>
          </w:tcPr>
          <w:p w14:paraId="48BF7A0B" w14:textId="3D1259DA"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00690CD3">
              <w:rPr>
                <w:rFonts w:ascii="Times New Roman" w:hAnsi="Times New Roman"/>
                <w:sz w:val="24"/>
                <w:szCs w:val="24"/>
              </w:rPr>
              <w:t>,</w:t>
            </w:r>
          </w:p>
          <w:p w14:paraId="74B9C7B8" w14:textId="0D4BFD58"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Tp</w:t>
            </w:r>
            <w:proofErr w:type="spellEnd"/>
            <w:r w:rsidR="00690CD3">
              <w:rPr>
                <w:rFonts w:ascii="Times New Roman" w:hAnsi="Times New Roman"/>
                <w:sz w:val="24"/>
                <w:szCs w:val="24"/>
              </w:rPr>
              <w:t>,</w:t>
            </w:r>
            <w:r w:rsidRPr="00A90AB7">
              <w:rPr>
                <w:rFonts w:ascii="Times New Roman" w:hAnsi="Times New Roman"/>
                <w:sz w:val="24"/>
                <w:szCs w:val="24"/>
              </w:rPr>
              <w:t xml:space="preserve">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r w:rsidR="00690CD3">
              <w:rPr>
                <w:rFonts w:ascii="Times New Roman" w:hAnsi="Times New Roman"/>
                <w:sz w:val="24"/>
                <w:szCs w:val="24"/>
              </w:rPr>
              <w:t>,</w:t>
            </w:r>
          </w:p>
          <w:p w14:paraId="38EAF356" w14:textId="134B6930"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(VACPA)</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(VTCA)</w:t>
            </w:r>
            <w:r w:rsidR="00690CD3">
              <w:rPr>
                <w:rFonts w:ascii="Times New Roman" w:hAnsi="Times New Roman"/>
                <w:sz w:val="24"/>
                <w:szCs w:val="24"/>
              </w:rPr>
              <w:t>,</w:t>
            </w:r>
            <w:r w:rsidRPr="00A90AB7">
              <w:rPr>
                <w:rFonts w:ascii="Times New Roman" w:hAnsi="Times New Roman"/>
                <w:sz w:val="24"/>
                <w:szCs w:val="24"/>
              </w:rPr>
              <w:t xml:space="preserve"> </w:t>
            </w:r>
          </w:p>
        </w:tc>
      </w:tr>
      <w:tr w:rsidR="005523A8" w:rsidRPr="00A90AB7" w14:paraId="1FAC4175" w14:textId="77777777" w:rsidTr="0083372E">
        <w:tc>
          <w:tcPr>
            <w:tcW w:w="2970" w:type="dxa"/>
          </w:tcPr>
          <w:p w14:paraId="412D74BC" w14:textId="0E249162" w:rsidR="005523A8" w:rsidRPr="00A90AB7" w:rsidRDefault="005523A8" w:rsidP="005523A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r w:rsidR="00690CD3">
              <w:rPr>
                <w:rFonts w:ascii="Times New Roman" w:hAnsi="Times New Roman"/>
                <w:b/>
                <w:sz w:val="24"/>
                <w:szCs w:val="24"/>
              </w:rPr>
              <w:t>,</w:t>
            </w:r>
          </w:p>
          <w:p w14:paraId="07E41948" w14:textId="4DB9BDF6"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Global Vietnam Lawyers </w:t>
            </w:r>
          </w:p>
          <w:p w14:paraId="7925ECAC" w14:textId="77777777" w:rsidR="005523A8" w:rsidRPr="00A90AB7" w:rsidRDefault="005523A8" w:rsidP="005523A8">
            <w:pPr>
              <w:spacing w:before="120" w:after="120"/>
              <w:jc w:val="both"/>
              <w:rPr>
                <w:rFonts w:ascii="Times New Roman" w:hAnsi="Times New Roman"/>
                <w:sz w:val="24"/>
                <w:szCs w:val="24"/>
              </w:rPr>
            </w:pPr>
          </w:p>
        </w:tc>
        <w:tc>
          <w:tcPr>
            <w:tcW w:w="6390" w:type="dxa"/>
          </w:tcPr>
          <w:p w14:paraId="2E4F67F5" w14:textId="2B68E72C"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yếu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mua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sáp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mở</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rộng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khách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môn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nghỉ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dưỡng</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xây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nghệ</w:t>
            </w:r>
            <w:proofErr w:type="spellEnd"/>
            <w:r w:rsidR="00690CD3">
              <w:rPr>
                <w:rFonts w:ascii="Times New Roman" w:hAnsi="Times New Roman"/>
                <w:sz w:val="24"/>
                <w:szCs w:val="24"/>
              </w:rPr>
              <w:t>,</w:t>
            </w:r>
            <w:r w:rsidRPr="00A90AB7">
              <w:rPr>
                <w:rFonts w:ascii="Times New Roman" w:hAnsi="Times New Roman"/>
                <w:sz w:val="24"/>
                <w:szCs w:val="24"/>
              </w:rPr>
              <w:t xml:space="preserve"> y </w:t>
            </w:r>
            <w:proofErr w:type="spellStart"/>
            <w:r w:rsidRPr="00A90AB7">
              <w:rPr>
                <w:rFonts w:ascii="Times New Roman" w:hAnsi="Times New Roman"/>
                <w:sz w:val="24"/>
                <w:szCs w:val="24"/>
              </w:rPr>
              <w:t>tế</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ẩm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uống</w:t>
            </w:r>
            <w:proofErr w:type="spellEnd"/>
            <w:r w:rsidRPr="00A90AB7">
              <w:rPr>
                <w:rFonts w:ascii="Times New Roman" w:hAnsi="Times New Roman"/>
                <w:sz w:val="24"/>
                <w:szCs w:val="24"/>
              </w:rPr>
              <w:t xml:space="preserve"> (F&amp;B)</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cảng</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vận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tải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viễn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thông</w:t>
            </w:r>
            <w:proofErr w:type="spellEnd"/>
            <w:r w:rsidR="00690CD3">
              <w:rPr>
                <w:rFonts w:ascii="Times New Roman" w:hAnsi="Times New Roman"/>
                <w:sz w:val="24"/>
                <w:szCs w:val="24"/>
              </w:rPr>
              <w:t>,</w:t>
            </w:r>
            <w:r w:rsidRPr="00A90AB7">
              <w:rPr>
                <w:rFonts w:ascii="Times New Roman" w:hAnsi="Times New Roman"/>
                <w:sz w:val="24"/>
                <w:szCs w:val="24"/>
              </w:rPr>
              <w:t xml:space="preserve">   </w:t>
            </w:r>
          </w:p>
          <w:p w14:paraId="3753E8AA" w14:textId="07153A06"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w:t>
            </w:r>
            <w:r w:rsidR="00690CD3">
              <w:rPr>
                <w:rFonts w:ascii="Times New Roman" w:hAnsi="Times New Roman"/>
                <w:sz w:val="24"/>
                <w:szCs w:val="24"/>
              </w:rPr>
              <w:t>,</w:t>
            </w:r>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w:t>
            </w:r>
            <w:r w:rsidR="00690CD3">
              <w:rPr>
                <w:rFonts w:ascii="Times New Roman" w:hAnsi="Times New Roman"/>
                <w:sz w:val="24"/>
                <w:szCs w:val="24"/>
              </w:rPr>
              <w:t>,</w:t>
            </w:r>
            <w:r w:rsidRPr="00A90AB7">
              <w:rPr>
                <w:rFonts w:ascii="Times New Roman" w:hAnsi="Times New Roman"/>
                <w:sz w:val="24"/>
                <w:szCs w:val="24"/>
              </w:rPr>
              <w:t xml:space="preserve"> </w:t>
            </w:r>
          </w:p>
          <w:p w14:paraId="5C4A0B9C" w14:textId="375E2568" w:rsidR="005523A8" w:rsidRPr="00A90AB7" w:rsidRDefault="005523A8" w:rsidP="005523A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Trường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Bristol Law School</w:t>
            </w:r>
            <w:r w:rsidR="00690CD3">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Đại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học</w:t>
            </w:r>
            <w:proofErr w:type="spellEnd"/>
            <w:r w:rsidRPr="00A90AB7">
              <w:rPr>
                <w:rFonts w:ascii="Times New Roman" w:hAnsi="Times New Roman"/>
                <w:sz w:val="24"/>
                <w:szCs w:val="24"/>
              </w:rPr>
              <w:t xml:space="preserve"> UWE Bristol</w:t>
            </w:r>
            <w:r w:rsidR="00690CD3">
              <w:rPr>
                <w:rFonts w:ascii="Times New Roman" w:hAnsi="Times New Roman"/>
                <w:sz w:val="24"/>
                <w:szCs w:val="24"/>
              </w:rPr>
              <w:t>,</w:t>
            </w:r>
            <w:r w:rsidRPr="00A90AB7">
              <w:rPr>
                <w:rFonts w:ascii="Times New Roman" w:hAnsi="Times New Roman"/>
                <w:sz w:val="24"/>
                <w:szCs w:val="24"/>
              </w:rPr>
              <w:t xml:space="preserve"> UK;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Tp</w:t>
            </w:r>
            <w:proofErr w:type="spellEnd"/>
            <w:r w:rsidR="00690CD3">
              <w:rPr>
                <w:rFonts w:ascii="Times New Roman" w:hAnsi="Times New Roman"/>
                <w:sz w:val="24"/>
                <w:szCs w:val="24"/>
              </w:rPr>
              <w:t>,</w:t>
            </w:r>
            <w:r w:rsidRPr="00A90AB7">
              <w:rPr>
                <w:rFonts w:ascii="Times New Roman" w:hAnsi="Times New Roman"/>
                <w:sz w:val="24"/>
                <w:szCs w:val="24"/>
              </w:rPr>
              <w:t xml:space="preserve">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00690CD3">
              <w:rPr>
                <w:rFonts w:ascii="Times New Roman" w:hAnsi="Times New Roman"/>
                <w:sz w:val="24"/>
                <w:szCs w:val="24"/>
              </w:rPr>
              <w:t>,</w:t>
            </w:r>
          </w:p>
        </w:tc>
      </w:tr>
    </w:tbl>
    <w:p w14:paraId="0B24B535" w14:textId="283C866E"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690CD3">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w:t>
      </w:r>
      <w:r w:rsidR="00690CD3">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ngày </w:t>
      </w:r>
      <w:r w:rsidR="00123825" w:rsidRPr="00A90AB7">
        <w:rPr>
          <w:rFonts w:ascii="Times New Roman" w:eastAsia="Times New Roman" w:hAnsi="Times New Roman"/>
          <w:i/>
          <w:sz w:val="24"/>
          <w:szCs w:val="24"/>
          <w:lang w:val="nl-NL"/>
        </w:rPr>
        <w:t>1</w:t>
      </w:r>
      <w:r w:rsidR="005523A8">
        <w:rPr>
          <w:rFonts w:ascii="Times New Roman" w:eastAsia="Times New Roman" w:hAnsi="Times New Roman"/>
          <w:i/>
          <w:sz w:val="24"/>
          <w:szCs w:val="24"/>
          <w:lang w:val="nl-NL"/>
        </w:rPr>
        <w:t>4</w:t>
      </w:r>
      <w:r w:rsidRPr="00A90AB7">
        <w:rPr>
          <w:rFonts w:ascii="Times New Roman" w:eastAsia="Times New Roman" w:hAnsi="Times New Roman"/>
          <w:i/>
          <w:sz w:val="24"/>
          <w:szCs w:val="24"/>
          <w:lang w:val="nl-NL"/>
        </w:rPr>
        <w:t xml:space="preserve"> tháng </w:t>
      </w:r>
      <w:r w:rsidR="00935B7F" w:rsidRPr="00A90AB7">
        <w:rPr>
          <w:rFonts w:ascii="Times New Roman" w:eastAsia="Times New Roman" w:hAnsi="Times New Roman"/>
          <w:i/>
          <w:sz w:val="24"/>
          <w:szCs w:val="24"/>
          <w:lang w:val="nl-NL"/>
        </w:rPr>
        <w:t>0</w:t>
      </w:r>
      <w:r w:rsidR="00B17BB1">
        <w:rPr>
          <w:rFonts w:ascii="Times New Roman" w:eastAsia="Times New Roman" w:hAnsi="Times New Roman"/>
          <w:i/>
          <w:sz w:val="24"/>
          <w:szCs w:val="24"/>
          <w:lang w:val="nl-NL"/>
        </w:rPr>
        <w:t>4</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E74ED3">
        <w:rPr>
          <w:rFonts w:ascii="Times New Roman" w:eastAsia="Times New Roman" w:hAnsi="Times New Roman"/>
          <w:i/>
          <w:sz w:val="24"/>
          <w:szCs w:val="24"/>
          <w:lang w:val="nl-NL"/>
        </w:rPr>
        <w:t>1</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722CFE6B" w:rsidR="00B17BB1" w:rsidRPr="00A90AB7"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lastRenderedPageBreak/>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87AE7"/>
    <w:rsid w:val="00091CAB"/>
    <w:rsid w:val="000C014D"/>
    <w:rsid w:val="000C4474"/>
    <w:rsid w:val="000D074B"/>
    <w:rsid w:val="000D3A01"/>
    <w:rsid w:val="000E3B0B"/>
    <w:rsid w:val="000E5FE9"/>
    <w:rsid w:val="000F2123"/>
    <w:rsid w:val="000F601D"/>
    <w:rsid w:val="00116153"/>
    <w:rsid w:val="00123825"/>
    <w:rsid w:val="00131315"/>
    <w:rsid w:val="00137C1F"/>
    <w:rsid w:val="00151BC4"/>
    <w:rsid w:val="001660FB"/>
    <w:rsid w:val="0017714B"/>
    <w:rsid w:val="001966AE"/>
    <w:rsid w:val="001B0B30"/>
    <w:rsid w:val="001B784B"/>
    <w:rsid w:val="001C4B96"/>
    <w:rsid w:val="001D49A9"/>
    <w:rsid w:val="001E40A2"/>
    <w:rsid w:val="001E4811"/>
    <w:rsid w:val="00203124"/>
    <w:rsid w:val="00220EA1"/>
    <w:rsid w:val="002243DA"/>
    <w:rsid w:val="00245818"/>
    <w:rsid w:val="0026620B"/>
    <w:rsid w:val="002841FF"/>
    <w:rsid w:val="002A14C7"/>
    <w:rsid w:val="002D4C06"/>
    <w:rsid w:val="002E1952"/>
    <w:rsid w:val="003011A5"/>
    <w:rsid w:val="00315A8E"/>
    <w:rsid w:val="00324B82"/>
    <w:rsid w:val="003329D6"/>
    <w:rsid w:val="003355C3"/>
    <w:rsid w:val="00363C83"/>
    <w:rsid w:val="0037699B"/>
    <w:rsid w:val="00386B2A"/>
    <w:rsid w:val="003875D1"/>
    <w:rsid w:val="00390432"/>
    <w:rsid w:val="00394460"/>
    <w:rsid w:val="003A4C1C"/>
    <w:rsid w:val="003A4D71"/>
    <w:rsid w:val="003B07B0"/>
    <w:rsid w:val="003D42C3"/>
    <w:rsid w:val="003E3D5C"/>
    <w:rsid w:val="003F36B2"/>
    <w:rsid w:val="00420BBF"/>
    <w:rsid w:val="004532C3"/>
    <w:rsid w:val="00455789"/>
    <w:rsid w:val="004573A2"/>
    <w:rsid w:val="0046119D"/>
    <w:rsid w:val="004647B9"/>
    <w:rsid w:val="00494F7E"/>
    <w:rsid w:val="004C3F63"/>
    <w:rsid w:val="004C7F20"/>
    <w:rsid w:val="004E41BD"/>
    <w:rsid w:val="0052162A"/>
    <w:rsid w:val="00523419"/>
    <w:rsid w:val="0052502D"/>
    <w:rsid w:val="0053737B"/>
    <w:rsid w:val="00551946"/>
    <w:rsid w:val="00551DCB"/>
    <w:rsid w:val="005523A8"/>
    <w:rsid w:val="00572F1B"/>
    <w:rsid w:val="0058767D"/>
    <w:rsid w:val="005A23DB"/>
    <w:rsid w:val="005A265A"/>
    <w:rsid w:val="005A4E9C"/>
    <w:rsid w:val="005E4081"/>
    <w:rsid w:val="005E4A6D"/>
    <w:rsid w:val="005E549F"/>
    <w:rsid w:val="005F16E8"/>
    <w:rsid w:val="005F188A"/>
    <w:rsid w:val="00620D22"/>
    <w:rsid w:val="00631DA1"/>
    <w:rsid w:val="00645CE0"/>
    <w:rsid w:val="00677949"/>
    <w:rsid w:val="006902A3"/>
    <w:rsid w:val="00690CD3"/>
    <w:rsid w:val="006A5246"/>
    <w:rsid w:val="006B2F2D"/>
    <w:rsid w:val="006D6A1B"/>
    <w:rsid w:val="006F7015"/>
    <w:rsid w:val="00701DBC"/>
    <w:rsid w:val="00713CC7"/>
    <w:rsid w:val="00747879"/>
    <w:rsid w:val="00753C12"/>
    <w:rsid w:val="00756A76"/>
    <w:rsid w:val="00763691"/>
    <w:rsid w:val="00764C46"/>
    <w:rsid w:val="00792A48"/>
    <w:rsid w:val="007959DC"/>
    <w:rsid w:val="007A2D4E"/>
    <w:rsid w:val="007B289D"/>
    <w:rsid w:val="007C5B05"/>
    <w:rsid w:val="008001E9"/>
    <w:rsid w:val="00804BBD"/>
    <w:rsid w:val="00816829"/>
    <w:rsid w:val="00826BB2"/>
    <w:rsid w:val="00830EAF"/>
    <w:rsid w:val="0083372E"/>
    <w:rsid w:val="00860234"/>
    <w:rsid w:val="00860A96"/>
    <w:rsid w:val="008707C6"/>
    <w:rsid w:val="008731A7"/>
    <w:rsid w:val="008939A1"/>
    <w:rsid w:val="008971AB"/>
    <w:rsid w:val="008D629B"/>
    <w:rsid w:val="008E75CF"/>
    <w:rsid w:val="008F2B2D"/>
    <w:rsid w:val="008F3818"/>
    <w:rsid w:val="00912E19"/>
    <w:rsid w:val="0093157F"/>
    <w:rsid w:val="0093357C"/>
    <w:rsid w:val="00935B7F"/>
    <w:rsid w:val="0096793F"/>
    <w:rsid w:val="00981F7A"/>
    <w:rsid w:val="00982758"/>
    <w:rsid w:val="00985B28"/>
    <w:rsid w:val="009C5637"/>
    <w:rsid w:val="009D5686"/>
    <w:rsid w:val="009D7171"/>
    <w:rsid w:val="009F4856"/>
    <w:rsid w:val="00A04A2C"/>
    <w:rsid w:val="00A27B9B"/>
    <w:rsid w:val="00A354B3"/>
    <w:rsid w:val="00A377D1"/>
    <w:rsid w:val="00A42F64"/>
    <w:rsid w:val="00A474F7"/>
    <w:rsid w:val="00A85A99"/>
    <w:rsid w:val="00A85E80"/>
    <w:rsid w:val="00A90AB7"/>
    <w:rsid w:val="00A9573B"/>
    <w:rsid w:val="00AA40C7"/>
    <w:rsid w:val="00AB46A2"/>
    <w:rsid w:val="00AB604A"/>
    <w:rsid w:val="00AC398E"/>
    <w:rsid w:val="00AD411A"/>
    <w:rsid w:val="00AE3720"/>
    <w:rsid w:val="00AF7018"/>
    <w:rsid w:val="00B00350"/>
    <w:rsid w:val="00B0433F"/>
    <w:rsid w:val="00B10F95"/>
    <w:rsid w:val="00B16AFD"/>
    <w:rsid w:val="00B17BB1"/>
    <w:rsid w:val="00B31181"/>
    <w:rsid w:val="00B32217"/>
    <w:rsid w:val="00B32E8D"/>
    <w:rsid w:val="00B354D5"/>
    <w:rsid w:val="00B63DD9"/>
    <w:rsid w:val="00B83A7D"/>
    <w:rsid w:val="00B97429"/>
    <w:rsid w:val="00B97B26"/>
    <w:rsid w:val="00BA4D7F"/>
    <w:rsid w:val="00BD079F"/>
    <w:rsid w:val="00BE1598"/>
    <w:rsid w:val="00BE6F63"/>
    <w:rsid w:val="00BF44CF"/>
    <w:rsid w:val="00C17A7C"/>
    <w:rsid w:val="00C326B2"/>
    <w:rsid w:val="00C3684A"/>
    <w:rsid w:val="00C41CA6"/>
    <w:rsid w:val="00C5103F"/>
    <w:rsid w:val="00C527C7"/>
    <w:rsid w:val="00C5765C"/>
    <w:rsid w:val="00CA76CF"/>
    <w:rsid w:val="00CD495C"/>
    <w:rsid w:val="00D10122"/>
    <w:rsid w:val="00D11DF9"/>
    <w:rsid w:val="00D135E8"/>
    <w:rsid w:val="00D32EB2"/>
    <w:rsid w:val="00D55232"/>
    <w:rsid w:val="00D66826"/>
    <w:rsid w:val="00D806C4"/>
    <w:rsid w:val="00D85C46"/>
    <w:rsid w:val="00DA30AE"/>
    <w:rsid w:val="00DC1FD1"/>
    <w:rsid w:val="00E0018A"/>
    <w:rsid w:val="00E0347F"/>
    <w:rsid w:val="00E03D4B"/>
    <w:rsid w:val="00E24141"/>
    <w:rsid w:val="00E32BB9"/>
    <w:rsid w:val="00E41DE8"/>
    <w:rsid w:val="00E47954"/>
    <w:rsid w:val="00E50F56"/>
    <w:rsid w:val="00E53446"/>
    <w:rsid w:val="00E630D3"/>
    <w:rsid w:val="00E67CAC"/>
    <w:rsid w:val="00E74ED3"/>
    <w:rsid w:val="00E92263"/>
    <w:rsid w:val="00E95030"/>
    <w:rsid w:val="00EA03A4"/>
    <w:rsid w:val="00EB7C98"/>
    <w:rsid w:val="00EC1DDD"/>
    <w:rsid w:val="00ED4A9C"/>
    <w:rsid w:val="00EE2193"/>
    <w:rsid w:val="00EE3F61"/>
    <w:rsid w:val="00EF41E2"/>
    <w:rsid w:val="00F01A1F"/>
    <w:rsid w:val="00F075DE"/>
    <w:rsid w:val="00F23C43"/>
    <w:rsid w:val="00F72260"/>
    <w:rsid w:val="00F92921"/>
    <w:rsid w:val="00FA0348"/>
    <w:rsid w:val="00FA2A53"/>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spPr>
              <a:ln w="22225" cap="rnd">
                <a:solidFill>
                  <a:schemeClr val="accent1"/>
                </a:solidFill>
              </a:ln>
              <a:effectLst>
                <a:glow rad="139700">
                  <a:schemeClr val="accent1">
                    <a:satMod val="175000"/>
                    <a:alpha val="14000"/>
                  </a:schemeClr>
                </a:glow>
              </a:effectLst>
            </c:spPr>
            <c:extLst>
              <c:ext xmlns:c16="http://schemas.microsoft.com/office/drawing/2014/chart" uri="{C3380CC4-5D6E-409C-BE32-E72D297353CC}">
                <c16:uniqueId val="{00000001-361A-47CC-81EC-03A1CA92A5CD}"/>
              </c:ext>
            </c:extLst>
          </c:dPt>
          <c:cat>
            <c:numRef>
              <c:f>Chart!$A$2:$A$145</c:f>
              <c:numCache>
                <c:formatCode>[$-409]d\-mmm\-yy;@</c:formatCode>
                <c:ptCount val="144"/>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numCache>
            </c:numRef>
          </c:cat>
          <c:val>
            <c:numRef>
              <c:f>Chart!$B$2:$B$145</c:f>
              <c:numCache>
                <c:formatCode>_(* #,##0.00_);_(* \(#,##0.00\);_(* "-"??_);_(@_)</c:formatCode>
                <c:ptCount val="144"/>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numCache>
            </c:numRef>
          </c:val>
          <c:smooth val="0"/>
          <c:extLst>
            <c:ext xmlns:c16="http://schemas.microsoft.com/office/drawing/2014/chart" uri="{C3380CC4-5D6E-409C-BE32-E72D297353CC}">
              <c16:uniqueId val="{00000002-361A-47CC-81EC-03A1CA92A5CD}"/>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37</cp:revision>
  <dcterms:created xsi:type="dcterms:W3CDTF">2020-10-12T08:01:00Z</dcterms:created>
  <dcterms:modified xsi:type="dcterms:W3CDTF">2021-04-15T09:07:00Z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8cd2a26783fc493a8222faaea71caf6a.psdsxs" Id="R72bf9173660d4533" /></Relationships>
</file>